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971"/>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71"/>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项目编号：JSZC-321204-HWZX-G2026-0286</w:t>
      </w:r>
      <w:r>
        <w:rPr>
          <w:rFonts w:cs="仿宋" w:asciiTheme="minorEastAsia" w:hAnsiTheme="minorEastAsia" w:eastAsiaTheme="minorEastAsia"/>
          <w:b/>
          <w:bCs/>
          <w:color w:val="000000" w:themeColor="text1"/>
          <w:sz w:val="28"/>
          <w:szCs w:val="28"/>
        </w:rPr>
        <w:t xml:space="preserve">（</w:t>
      </w:r>
      <w:r>
        <w:rPr>
          <w:rFonts w:hint="eastAsia" w:cs="仿宋" w:asciiTheme="minorEastAsia" w:hAnsiTheme="minorEastAsia" w:eastAsiaTheme="minorEastAsia"/>
          <w:b/>
          <w:bCs/>
          <w:color w:val="000000" w:themeColor="text1"/>
          <w:sz w:val="28"/>
          <w:szCs w:val="28"/>
        </w:rPr>
        <w:t xml:space="preserve">JYZC-2026041</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购代理编号：0675-266JOC003418</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项目名称：X射线计算机体层摄影设备</w:t>
      </w:r>
      <w:r/>
    </w:p>
    <w:p>
      <w:pPr>
        <w:ind w:firstLine="419"/>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人：泰州市姜堰中医院</w:t>
      </w:r>
      <w:r/>
    </w:p>
    <w:p>
      <w:pPr>
        <w:pStyle w:val="813"/>
        <w:ind w:firstLine="0"/>
        <w:jc w:val="center"/>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6</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972"/>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72"/>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72"/>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72"/>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72"/>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72"/>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X射线计算机体层摄影设备</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5" w:tooltip="http://jszfcg.jsczt.cn/）获取招标文件，并于2023年11月" w:history="1">
        <w:r>
          <w:rPr>
            <w:rStyle w:val="817"/>
            <w:rFonts w:hint="eastAsia" w:cs="仿宋" w:asciiTheme="minorEastAsia" w:hAnsiTheme="minorEastAsia" w:eastAsiaTheme="minorEastAsia"/>
            <w:color w:val="000000" w:themeColor="text1"/>
            <w:sz w:val="24"/>
            <w:szCs w:val="24"/>
            <w:u w:val="none"/>
          </w:rPr>
          <w:t xml:space="preserve">，并于</w:t>
        </w:r>
        <w:r>
          <w:rPr>
            <w:rStyle w:val="817"/>
            <w:rFonts w:hint="eastAsia" w:cs="仿宋" w:asciiTheme="minorEastAsia" w:hAnsiTheme="minorEastAsia" w:eastAsiaTheme="minorEastAsia"/>
            <w:color w:val="000000" w:themeColor="text1"/>
            <w:sz w:val="24"/>
            <w:szCs w:val="24"/>
          </w:rPr>
          <w:t xml:space="preserve">202</w:t>
        </w:r>
        <w:r>
          <w:rPr>
            <w:rStyle w:val="817"/>
            <w:rFonts w:cs="仿宋" w:asciiTheme="minorEastAsia" w:hAnsiTheme="minorEastAsia" w:eastAsiaTheme="minorEastAsia"/>
            <w:color w:val="000000" w:themeColor="text1"/>
            <w:sz w:val="24"/>
            <w:szCs w:val="24"/>
          </w:rPr>
          <w:t xml:space="preserve">6</w:t>
        </w:r>
        <w:r>
          <w:rPr>
            <w:rStyle w:val="817"/>
            <w:rFonts w:hint="eastAsia" w:cs="仿宋" w:asciiTheme="minorEastAsia" w:hAnsiTheme="minorEastAsia" w:eastAsiaTheme="minorEastAsia"/>
            <w:color w:val="000000" w:themeColor="text1"/>
            <w:sz w:val="24"/>
            <w:szCs w:val="24"/>
          </w:rPr>
          <w:t xml:space="preserve">年7月</w:t>
        </w:r>
      </w:hyperlink>
      <w:r>
        <w:rPr>
          <w:rStyle w:val="817"/>
          <w:rFonts w:hint="eastAsia" w:cs="仿宋" w:asciiTheme="minorEastAsia" w:hAnsiTheme="minorEastAsia" w:eastAsiaTheme="minorEastAsia"/>
          <w:color w:val="000000" w:themeColor="text1"/>
          <w:sz w:val="24"/>
          <w:szCs w:val="24"/>
        </w:rPr>
        <w:t xml:space="preserve">15</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73"/>
        <w:spacing w:before="0" w:after="0" w:line="360" w:lineRule="auto"/>
        <w:rPr>
          <w:rFonts w:hint="eastAsia" w:cs="仿宋" w:asciiTheme="minorEastAsia" w:hAnsiTheme="minorEastAsia" w:eastAsiaTheme="minorEastAsia"/>
          <w:bCs w:val="0"/>
          <w:color w:val="000000" w:themeColor="text1"/>
          <w:sz w:val="24"/>
          <w:szCs w:val="24"/>
        </w:rPr>
      </w:pPr>
      <w:r/>
      <w:bookmarkStart w:id="5" w:name="_Toc35393790"/>
      <w:r/>
      <w:bookmarkStart w:id="6" w:name="_Toc28359002"/>
      <w:r/>
      <w:bookmarkStart w:id="7" w:name="_Toc28359079"/>
      <w:r/>
      <w:bookmarkStart w:id="8" w:name="_Toc35393621"/>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项目编号：JSZC-321204-HWZX-G2026-0286</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JYZC-2026041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采购代理编号：0675-266JOC003418</w:t>
      </w:r>
      <w:r>
        <w:rPr>
          <w:rFonts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X射线计算机体层摄影设备</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预算金额：680万元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最高限价：553万元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100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X射线计算机体层摄影设备</w:t>
            </w:r>
            <w:r/>
          </w:p>
        </w:tc>
        <w:tc>
          <w:tcPr>
            <w:shd w:val="clear" w:color="auto" w:fill="ffffff"/>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680/553</w:t>
            </w:r>
            <w:r/>
          </w:p>
        </w:tc>
        <w:tc>
          <w:tcPr>
            <w:shd w:val="clear" w:color="auto" w:fill="ffffff"/>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974"/>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74"/>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74"/>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73"/>
        <w:spacing w:before="0" w:after="0" w:line="360" w:lineRule="auto"/>
        <w:rPr>
          <w:rFonts w:hint="eastAsia" w:cs="仿宋" w:asciiTheme="minorEastAsia" w:hAnsiTheme="minorEastAsia" w:eastAsiaTheme="minorEastAsia"/>
          <w:bCs w:val="0"/>
          <w:color w:val="000000" w:themeColor="text1"/>
          <w:sz w:val="24"/>
          <w:szCs w:val="24"/>
        </w:rPr>
      </w:pPr>
      <w:r/>
      <w:bookmarkStart w:id="10" w:name="_Toc28359003"/>
      <w:r/>
      <w:bookmarkStart w:id="11" w:name="_Toc35393622"/>
      <w:r/>
      <w:bookmarkStart w:id="12" w:name="_Toc28359080"/>
      <w:r/>
      <w:bookmarkStart w:id="13" w:name="_Toc35393791"/>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hint="eastAsia" w:ascii="宋体" w:hAnsi="宋体" w:eastAsia="宋体" w:cs="Arial"/>
          <w:b/>
          <w:bCs/>
          <w:sz w:val="24"/>
          <w:szCs w:val="21"/>
        </w:rPr>
      </w:pPr>
      <w:r/>
      <w:bookmarkStart w:id="14" w:name="_Hlk142317588"/>
      <w:r/>
      <w:bookmarkStart w:id="15" w:name="_Toc28359004"/>
      <w:r/>
      <w:bookmarkStart w:id="16" w:name="_Toc35393792"/>
      <w:r/>
      <w:bookmarkStart w:id="17" w:name="_Toc28359081"/>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hint="eastAsia"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不专门面向中小企业采购。</w:t>
      </w:r>
      <w:r>
        <w:rPr>
          <w:rFonts w:ascii="宋体" w:hAnsi="宋体" w:eastAsia="宋体" w:cs="仿宋"/>
          <w:bCs/>
          <w:sz w:val="24"/>
          <w:szCs w:val="24"/>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2、投标人需具备辐射安全许可证(包含销售资质）</w:t>
      </w:r>
      <w:r/>
    </w:p>
    <w:p>
      <w:pPr>
        <w:pStyle w:val="973"/>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hint="eastAsia" w:ascii="宋体" w:hAnsi="宋体" w:eastAsia="宋体" w:cs="宋体"/>
          <w:sz w:val="24"/>
          <w:szCs w:val="24"/>
        </w:rPr>
      </w:pPr>
      <w:r/>
      <w:bookmarkStart w:id="19" w:name="_Toc28359005"/>
      <w:r/>
      <w:bookmarkStart w:id="20" w:name="_Toc28359082"/>
      <w:r/>
      <w:bookmarkStart w:id="21" w:name="_Toc35393624"/>
      <w:r/>
      <w:bookmarkStart w:id="22" w:name="_Toc35393793"/>
      <w:r>
        <w:rPr>
          <w:rFonts w:hint="eastAsia" w:ascii="宋体" w:hAnsi="宋体" w:eastAsia="宋体" w:cs="宋体"/>
          <w:sz w:val="24"/>
          <w:szCs w:val="24"/>
        </w:rPr>
        <w:t xml:space="preserve">1、时间：2026年6月</w:t>
      </w:r>
      <w:r>
        <w:rPr>
          <w:rFonts w:ascii="宋体" w:hAnsi="宋体" w:eastAsia="宋体" w:cs="宋体"/>
          <w:sz w:val="24"/>
          <w:szCs w:val="24"/>
        </w:rPr>
        <w:t xml:space="preserve">3</w:t>
      </w:r>
      <w:r>
        <w:rPr>
          <w:rFonts w:hint="eastAsia" w:ascii="宋体" w:hAnsi="宋体" w:eastAsia="宋体" w:cs="宋体"/>
          <w:sz w:val="24"/>
          <w:szCs w:val="24"/>
        </w:rPr>
        <w:t xml:space="preserve">日起至2026年6月</w:t>
      </w:r>
      <w:r>
        <w:rPr>
          <w:rFonts w:ascii="宋体" w:hAnsi="宋体" w:eastAsia="宋体" w:cs="宋体"/>
          <w:sz w:val="24"/>
          <w:szCs w:val="24"/>
        </w:rPr>
        <w:t xml:space="preserve">9</w:t>
      </w:r>
      <w:r>
        <w:rPr>
          <w:rFonts w:hint="eastAsia" w:ascii="宋体" w:hAnsi="宋体" w:eastAsia="宋体" w:cs="宋体"/>
          <w:sz w:val="24"/>
          <w:szCs w:val="24"/>
        </w:rPr>
        <w:t xml:space="preserve">日止，2026年6月</w:t>
      </w:r>
      <w:r>
        <w:rPr>
          <w:rFonts w:ascii="宋体" w:hAnsi="宋体" w:eastAsia="宋体" w:cs="宋体"/>
          <w:sz w:val="24"/>
          <w:szCs w:val="24"/>
        </w:rPr>
        <w:t xml:space="preserve">9</w:t>
      </w:r>
      <w:r>
        <w:rPr>
          <w:rFonts w:hint="eastAsia" w:ascii="宋体" w:hAnsi="宋体" w:eastAsia="宋体" w:cs="宋体"/>
          <w:sz w:val="24"/>
          <w:szCs w:val="24"/>
        </w:rPr>
        <w:t xml:space="preserve">日后仍可以下载招标文件，2026年6月</w:t>
      </w:r>
      <w:r>
        <w:rPr>
          <w:rFonts w:ascii="宋体" w:hAnsi="宋体" w:eastAsia="宋体" w:cs="宋体"/>
          <w:sz w:val="24"/>
          <w:szCs w:val="24"/>
        </w:rPr>
        <w:t xml:space="preserve">9</w:t>
      </w:r>
      <w:r>
        <w:rPr>
          <w:rFonts w:hint="eastAsia" w:ascii="宋体" w:hAnsi="宋体" w:eastAsia="宋体" w:cs="宋体"/>
          <w:sz w:val="24"/>
          <w:szCs w:val="24"/>
        </w:rPr>
        <w:t xml:space="preserve">日后下载的招标文件，超出有效报名时间且不作为供应商权益受到损害的证明材料和依据。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973"/>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年7月15日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分（北京时间）</w:t>
      </w:r>
      <w:r/>
    </w:p>
    <w:p>
      <w:pPr>
        <w:ind w:firstLine="120"/>
        <w:spacing w:line="360" w:lineRule="auto"/>
        <w:rPr>
          <w:rFonts w:hint="eastAsia"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ascii="宋体" w:hAnsi="宋体" w:eastAsia="宋体"/>
          <w:bCs/>
          <w:sz w:val="24"/>
          <w:szCs w:val="24"/>
        </w:rPr>
        <w:t xml:space="preserve">江苏省政府采购交易系统（以下简称“苏采云系统”）网上开标大厅</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w:t>
      </w:r>
      <w:r>
        <w:rPr>
          <w:rFonts w:hint="eastAsia" w:ascii="宋体" w:hAnsi="宋体" w:eastAsia="宋体"/>
          <w:bCs/>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73"/>
        <w:spacing w:before="0" w:after="0" w:line="360" w:lineRule="auto"/>
        <w:rPr>
          <w:rFonts w:hint="eastAsia" w:cs="仿宋" w:asciiTheme="minorEastAsia" w:hAnsiTheme="minorEastAsia" w:eastAsiaTheme="minorEastAsia"/>
          <w:bCs w:val="0"/>
          <w:color w:val="000000" w:themeColor="text1"/>
          <w:sz w:val="24"/>
          <w:szCs w:val="24"/>
        </w:rPr>
      </w:pPr>
      <w:r/>
      <w:bookmarkStart w:id="23" w:name="_Toc28359007"/>
      <w:r/>
      <w:bookmarkStart w:id="24" w:name="_Toc28359084"/>
      <w:r/>
      <w:bookmarkStart w:id="25" w:name="_Toc35393625"/>
      <w:r/>
      <w:bookmarkStart w:id="26" w:name="_Toc35393794"/>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73"/>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bCs/>
          <w:sz w:val="24"/>
          <w:szCs w:val="24"/>
        </w:rPr>
      </w:pPr>
      <w:r/>
      <w:bookmarkStart w:id="29" w:name="_Toc28359085"/>
      <w:r/>
      <w:bookmarkStart w:id="30" w:name="_Toc28359008"/>
      <w:r/>
      <w:bookmarkStart w:id="31" w:name="_Toc35393627"/>
      <w:r/>
      <w:bookmarkStart w:id="32" w:name="_Toc35393796"/>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1）.小微企业价格扣除《江苏省财政厅关于进一步加大政府采购支持中小企业力度的通知》（苏财购〔2022〕45号）2）.节能、环保产</w:t>
      </w:r>
      <w:r>
        <w:rPr>
          <w:rFonts w:hint="eastAsia" w:ascii="宋体" w:hAnsi="宋体" w:eastAsia="宋体" w:cs="宋体"/>
          <w:bCs/>
          <w:sz w:val="24"/>
          <w:szCs w:val="24"/>
        </w:rPr>
        <w:t xml:space="preserve">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号）等政策。5）.本项目对采购本国产品给予政策支持，具体内容见招标文件“第四章 评标办法及标准”</w:t>
      </w:r>
      <w:r/>
    </w:p>
    <w:p>
      <w:pPr>
        <w:spacing w:line="360" w:lineRule="auto"/>
        <w:rPr>
          <w:rFonts w:hint="eastAsia"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p>
    <w:p>
      <w:pPr>
        <w:pStyle w:val="973"/>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hint="eastAsia"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称：泰州市姜堰中医院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地址：泰州市姜堰区姜堰大道699号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联系人：崔科长   电话：</w:t>
      </w:r>
      <w:r>
        <w:rPr>
          <w:rFonts w:cs="仿宋" w:asciiTheme="minorEastAsia" w:hAnsiTheme="minorEastAsia" w:eastAsiaTheme="minorEastAsia"/>
          <w:color w:val="000000" w:themeColor="text1"/>
          <w:sz w:val="24"/>
          <w:szCs w:val="24"/>
        </w:rPr>
        <w:t xml:space="preserve">13952680982</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址：南京市建邺区云龙山路56号大唐科技大厦A座高区15楼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10"/>
      <w:r/>
      <w:bookmarkStart w:id="37" w:name="_Toc28359087"/>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975"/>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项目联系人：马先生、徐先生、陆先生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rPr>
          <w:rFonts w:hint="eastAsia" w:cs="仿宋" w:asciiTheme="minorEastAsia" w:hAnsiTheme="minorEastAsia" w:eastAsiaTheme="minorEastAsia"/>
          <w:color w:val="000000" w:themeColor="text1"/>
          <w:sz w:val="24"/>
          <w:szCs w:val="24"/>
        </w:rPr>
        <w:t xml:space="preserve">、19850429971</w:t>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X射线计算机体层摄影设备</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预算金额：680</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最高限价：553</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30"/>
              <w:numPr>
                <w:ilvl w:val="0"/>
                <w:numId w:val="1"/>
              </w:num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30"/>
              <w:numPr>
                <w:ilvl w:val="0"/>
                <w:numId w:val="1"/>
              </w:num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年7月15日1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年7月15日1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30"/>
              <w:ind w:firstLine="0"/>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76"/>
              <w:ind w:firstLine="0"/>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签订合同后，货物验收合格且试运行一个月后支付90%货款，一年之后支付余款（如果中标人为中小企业，按&lt;&lt;保障中小企业款项支付条例&gt;&gt;(国令第802号)相关要求执行） </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pStyle w:val="976"/>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项目代理服务费由采购人支付，需按照《江苏省政府采购代理服务收费指导意见》苏政采协[2024]20号执行货物收费指导价标准的80%，单个项目最低收费标准为4000元，向采购代理机构一次性缴纳代理服务费，需备注266-003418代理服务费。</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976"/>
              <w:ind w:firstLine="0"/>
              <w:jc w:val="both"/>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76"/>
              <w:ind w:firstLine="0"/>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76"/>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976"/>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76"/>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76"/>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76"/>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76"/>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76"/>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76"/>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76"/>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76"/>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76"/>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75"/>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976"/>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30"/>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30"/>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977"/>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w:t>
      </w:r>
      <w:r>
        <w:rPr>
          <w:rFonts w:hint="eastAsia" w:cs="仿宋" w:asciiTheme="minorEastAsia" w:hAnsiTheme="minorEastAsia" w:eastAsiaTheme="minorEastAsia"/>
          <w:color w:val="000000" w:themeColor="text1"/>
          <w:sz w:val="24"/>
          <w:szCs w:val="24"/>
        </w:rPr>
        <w:t xml:space="preserve">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76"/>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76"/>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76"/>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976"/>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20"/>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w:t>
      </w:r>
      <w:r>
        <w:rPr>
          <w:rFonts w:hint="eastAsia" w:cs="仿宋" w:asciiTheme="minorEastAsia" w:hAnsiTheme="minorEastAsia" w:eastAsiaTheme="minorEastAsia"/>
          <w:color w:val="000000" w:themeColor="text1"/>
          <w:sz w:val="24"/>
          <w:szCs w:val="24"/>
        </w:rPr>
        <w:t xml:space="preserve">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w:t>
      </w:r>
      <w:r>
        <w:rPr>
          <w:rFonts w:hint="eastAsia" w:cs="仿宋" w:asciiTheme="minorEastAsia" w:hAnsiTheme="minorEastAsia" w:eastAsiaTheme="minorEastAsia"/>
          <w:color w:val="000000" w:themeColor="text1"/>
          <w:szCs w:val="24"/>
        </w:rPr>
        <w:t xml:space="preserve">格。</w:t>
      </w:r>
      <w:r/>
    </w:p>
    <w:p>
      <w:pPr>
        <w:pStyle w:val="976"/>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76"/>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76"/>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17）评审中出现下列情形之一的，评审委员会应当启动异常低价投标（响应）审查程序： </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3.投标（响应）报价低于采购项目最高限价45%的，即投标（响应）报价&lt;采购项目最高限价×45%；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4.评审委员会基于专业判断，认为供应商报价过低，有可能影响产品质量或者不能诚信履约的其他情形。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w:t>
      </w:r>
      <w:r>
        <w:rPr>
          <w:rFonts w:hint="eastAsia" w:cs="仿宋" w:asciiTheme="minorEastAsia" w:hAnsiTheme="minorEastAsia" w:eastAsiaTheme="minorEastAsia"/>
          <w:color w:val="000000" w:themeColor="text1"/>
          <w:sz w:val="24"/>
          <w:szCs w:val="24"/>
        </w:rPr>
        <w:t xml:space="preserve">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76"/>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76"/>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w:t>
      </w:r>
      <w:r>
        <w:rPr>
          <w:rFonts w:hint="eastAsia" w:cs="仿宋" w:asciiTheme="minorEastAsia" w:hAnsiTheme="minorEastAsia" w:eastAsiaTheme="minorEastAsia"/>
          <w:color w:val="000000" w:themeColor="text1"/>
          <w:sz w:val="24"/>
          <w:szCs w:val="24"/>
        </w:rPr>
        <w:t xml:space="preserve">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76"/>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w:t>
      </w:r>
      <w:r>
        <w:rPr>
          <w:rFonts w:hint="eastAsia" w:cs="仿宋" w:asciiTheme="minorEastAsia" w:hAnsiTheme="minorEastAsia" w:eastAsiaTheme="minorEastAsia"/>
          <w:color w:val="000000" w:themeColor="text1"/>
          <w:szCs w:val="24"/>
        </w:rPr>
        <w:t xml:space="preserve">中标人未按上述要求提交履约保证金的,采购人可取消其中标资格。</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76"/>
        <w:ind w:firstLine="431"/>
        <w:jc w:val="both"/>
        <w:spacing w:line="360" w:lineRule="auto"/>
        <w:rPr>
          <w:rFonts w:hint="eastAsia"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76"/>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76"/>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76"/>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0" w:name="_Toc388026586"/>
      <w:r/>
      <w:bookmarkEnd w:id="39"/>
      <w:r>
        <w:rPr>
          <w:rFonts w:hint="eastAsia" w:cs="仿宋" w:asciiTheme="minorEastAsia" w:hAnsiTheme="minorEastAsia" w:eastAsiaTheme="minorEastAsia"/>
          <w:color w:val="000000" w:themeColor="text1"/>
          <w:szCs w:val="24"/>
        </w:rPr>
        <w:br w:type="page" w:clear="all"/>
      </w:r>
      <w:r/>
    </w:p>
    <w:p>
      <w:pPr>
        <w:pStyle w:val="97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76"/>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0"/>
      <w:r>
        <w:rPr>
          <w:rFonts w:hint="eastAsia" w:cs="仿宋" w:asciiTheme="minorEastAsia" w:hAnsiTheme="minorEastAsia" w:eastAsiaTheme="minorEastAsia"/>
          <w:b/>
          <w:color w:val="000000" w:themeColor="text1"/>
          <w:sz w:val="32"/>
          <w:szCs w:val="32"/>
        </w:rPr>
        <w:t xml:space="preserve">需求</w:t>
      </w:r>
      <w:r/>
    </w:p>
    <w:p>
      <w:pPr>
        <w:pStyle w:val="830"/>
        <w:ind w:left="720" w:firstLine="0"/>
        <w:jc w:val="left"/>
        <w:spacing w:line="360" w:lineRule="auto"/>
        <w:tabs>
          <w:tab w:val="left" w:pos="1260" w:leader="none"/>
        </w:tabs>
        <w:rPr>
          <w:rFonts w:hint="eastAsia" w:ascii="宋体" w:hAnsi="宋体" w:eastAsia="宋体"/>
          <w:b/>
          <w:sz w:val="28"/>
          <w:szCs w:val="28"/>
        </w:rPr>
      </w:pPr>
      <w:r/>
      <w:bookmarkStart w:id="41" w:name="_Toc409438821"/>
      <w:r/>
      <w:bookmarkStart w:id="42" w:name="_Toc388026588"/>
      <w:r>
        <w:rPr>
          <w:rFonts w:hint="eastAsia" w:ascii="宋体" w:hAnsi="宋体" w:eastAsia="宋体"/>
          <w:b/>
          <w:sz w:val="28"/>
          <w:szCs w:val="28"/>
        </w:rPr>
        <w:t xml:space="preserve">一、采购需求</w:t>
      </w:r>
      <w:r/>
    </w:p>
    <w:tbl>
      <w:tblPr>
        <w:tblStyle w:val="100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911"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bookmarkStart w:id="43"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X射线计算机体层摄影设备 </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泰州市姜堰中医院指定地点</w:t>
            </w:r>
            <w:bookmarkEnd w:id="43"/>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numPr>
          <w:ilvl w:val="0"/>
          <w:numId w:val="5"/>
        </w:num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tbl>
      <w:tblPr>
        <w:tblW w:w="8857" w:type="dxa"/>
        <w:jc w:val="center"/>
        <w:tblLook w:val="04A0" w:firstRow="1" w:lastRow="0" w:firstColumn="1" w:lastColumn="0" w:noHBand="0" w:noVBand="1"/>
      </w:tblPr>
      <w:tblGrid>
        <w:gridCol w:w="697"/>
        <w:gridCol w:w="8160"/>
      </w:tblGrid>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设备使用期限≥10年</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机架孔径≥70cm</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球管焦点到等中心点的距离≤60cm</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球管焦点到探测器的距离≤110cm</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机架转速≤0.35s/圈</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球管热容量(非等效)≥7MHU</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球管散热率（非等效）≥1000Khu/min或5KW</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小焦点大小≤0.65mm²，大焦点大小≤1.2mm²</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所投设备具备球管、高压发生器、探测器与所投品牌为同一研发体系配套设计，提供检测报告</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球管输出电流范围≥5-550mA</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高压发生器功率（非等效）≥72kW</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最长连续曝光时间≥120s</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管电压可选档数≥4档</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探测器Z轴物理排列数≥64排</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探测器Z轴覆盖范围≥38.4mm</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单圈扫描最大层数≥128层/360°</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每排探测器物理单元数≥670个</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重建矩阵≥512*512</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最薄采集层厚≤0.7mm</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床载重量≥200KG</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图像重建速度≥70幅/秒</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具备全脑灌注扫描覆盖范围≥8cm</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具备独立后处理工作站</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具备常规测量工具包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具备齿科成像及后处理分析软件包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具备CT尿路成像及后处理分析软件包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具备头颈成像及后处理分析软件包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具备胸部成像及后处理分析软件包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具备腹部成像及后处理分析软件包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具备四肢成像及后处理分析软件包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spacing w:line="216"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具备血管成像及后处理分析软件包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具备骨骼成像及后处理分析软件包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具备冠脉成像及后处理分析软件包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具备卒中功能成像及后处理分析软件包</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rPr>
              <w:t xml:space="preserve">配套的主流品牌高压注射器</w:t>
            </w:r>
            <w:r/>
          </w:p>
        </w:tc>
      </w:tr>
      <w:tr>
        <w:trPr>
          <w:jc w:val="center"/>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36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8160" w:type="dxa"/>
            <w:vAlign w:val="center"/>
            <w:textDirection w:val="lrTb"/>
            <w:noWrap w:val="false"/>
          </w:tcPr>
          <w:p>
            <w:pPr>
              <w:jc w:val="lef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AI</w:t>
            </w:r>
            <w:r>
              <w:rPr>
                <w:rFonts w:hint="eastAsia" w:ascii="宋体" w:hAnsi="宋体" w:eastAsia="宋体" w:cs="宋体"/>
                <w:color w:val="000000"/>
                <w:sz w:val="24"/>
                <w:szCs w:val="24"/>
              </w:rPr>
              <w:t xml:space="preserve">赋能高级功能：包含肺结节影像分析软件、冠脉影像分析软件、头颈血管</w:t>
            </w:r>
            <w:r>
              <w:rPr>
                <w:rFonts w:hint="eastAsia" w:ascii="宋体" w:hAnsi="宋体" w:eastAsia="宋体" w:cs="宋体"/>
                <w:color w:val="000000"/>
                <w:sz w:val="24"/>
                <w:szCs w:val="24"/>
              </w:rPr>
              <w:t xml:space="preserve">影像分析软件、脑缺血灌注影像分析软件、骨折影像分析软件、骨龄影像分析软件</w:t>
            </w:r>
            <w:r/>
          </w:p>
        </w:tc>
      </w:tr>
    </w:tbl>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2159"/>
        <w:gridCol w:w="5732"/>
      </w:tblGrid>
      <w:tr>
        <w:trPr>
          <w:jc w:val="center"/>
          <w:trHeight w:val="750"/>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交货期</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合同生效之日起</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天内</w:t>
            </w:r>
            <w:r/>
          </w:p>
        </w:tc>
      </w:tr>
      <w:tr>
        <w:trPr>
          <w:jc w:val="center"/>
          <w:trHeight w:val="867"/>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2</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、整机质保要求不少于三年。</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、对医院技术人员进行应用培训，直至操作人员会使用为止。</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、设备交付使用后，定期对设备进行维护保养，在保修期内提供免费维护保养服务两次。</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、保证所提供设备的配件</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年供货期，承诺期内保证配件需求。</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、定期对机器清洁、性能测试及校准、必要的机械或电气的检查。</w:t>
            </w:r>
            <w:r/>
          </w:p>
        </w:tc>
      </w:tr>
      <w:tr>
        <w:trPr>
          <w:jc w:val="center"/>
          <w:trHeight w:val="810"/>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3</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交货地点</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泰州市姜堰中医院指定地点</w:t>
            </w:r>
            <w:r/>
          </w:p>
        </w:tc>
      </w:tr>
      <w:tr>
        <w:trPr>
          <w:jc w:val="center"/>
          <w:trHeight w:val="837"/>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包装运输</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由供应商承担</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付款方式</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签订合同后，货物验收合格且试运行一个月后支付90%货款，一年之后支付余款（如果中标人为中小企业，按&lt;&lt;保障中小企业款项支付条例&gt;&gt;(国令第802号)相关要求执行） </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项目实施、验收及培训方案</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一、项目实施方案要求</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投标人应结合本项目实际情况，提供项目实施方案，方案应科学合理、内容完整、切实可行，至少包括以下内容：</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、协议期内供货计划及进度安排，确保按期供货；</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、设备安装、调试方案及质量控制措施；</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、巡检方案及设备运行保障措施；</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、项目实施组织架构及人员配置情况；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、项目实施过程中的风险控制及应急保障措施。</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二、项目验收方案要求</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投标人应依据国家相关法律法规、行业标准及招标文件要求，结合本项目特点，提供项目验收方案，方案应规范、完整、可操作，至少包括以下内容：</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、项目验收依据、标准及验收条件；</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、验收组织形式及验收流程安排；</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、验收内容、方法及技术指标确认方式；</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、验收资料及成果交付要求；</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、验收问题整改及复验安排。</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三、项目培训方案要求</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投标人应根据招标文件要求提供培训服务，并结合本项目实际情况，提供项目培训方案，至少包括：</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、培训对象、培训方式及培训计划安排；</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、培训内容及课程设置；</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、培训师资情况；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、培训教材、资料或配套文件；</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、培训效果保障措施。</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sz w:val="24"/>
                <w:szCs w:val="24"/>
              </w:rPr>
              <w:t xml:space="preserve">设备到货、安装及调试方案</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投标人需提交设备到货、安装及调试方案，响应招标要求，保障设备交付、安装、就位、验收全流程合规，满足项目管理需求；需制定闭环管理的整体实施方案，覆盖全流程，明确各环节标准、衔接流程及应急措施，规避风险、保障节点推进；同时需明确项目团队架构、成员资质及岗位分工，核心人员需具备对应资质及同类项目经验并可提供佐证材料，制定适配的货物包装及运输计划，明确防护标准、运输细节及交接流程以确保货物安全准时送达，明确安装调试流程、技术标准及人员工具配置并针对重难点制定专项措施，符合相关规范要求；</w:t>
            </w:r>
            <w:r>
              <w:rPr>
                <w:rFonts w:ascii="宋体" w:hAnsi="宋体" w:eastAsia="宋体" w:cs="宋体"/>
                <w:bCs/>
                <w:sz w:val="24"/>
                <w:szCs w:val="24"/>
              </w:rPr>
              <w:t xml:space="preserve">此外，需制定贴合现场的实施流程及科学可行的进度计划，明确关键节点并具备调整及延误预判能力，建立全环节时间管控及预警机制并配套延误补救措施以确保按约定完成全流程工作，落实安全生产要求，制定安全管理制度及防护规范，明确责任人并开展安全排查、杜绝安全事故，提供全流程技术支持及培训，明确服务团队、响应时限及标准以保障设备稳定运行</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售后服务承诺情况</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投标人应提供覆盖供货后质保期内的售后服务及本地化服务方案，方案应满足本项目使用及管理需要，至少包括：</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、售后服务响应时间及服务流程；</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、回访及巡检服务安排；</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、故障处理措施、技术支持及人员保障；</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、备品备件供应保障及价格承诺；</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、江苏省内售后服务网点及维修网点设置情况；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6</w:t>
            </w:r>
            <w:r>
              <w:rPr>
                <w:rFonts w:hint="eastAsia" w:ascii="宋体" w:hAnsi="宋体" w:eastAsia="宋体" w:cs="宋体"/>
                <w:bCs/>
                <w:sz w:val="24"/>
                <w:szCs w:val="24"/>
                <w:lang w:val="zh-CN"/>
              </w:rPr>
              <w:t xml:space="preserve">、服务质量及服务时效承诺</w:t>
            </w:r>
            <w:r/>
          </w:p>
        </w:tc>
      </w:tr>
    </w:tbl>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hint="eastAsia"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pStyle w:val="979"/>
        <w:numPr>
          <w:ilvl w:val="0"/>
          <w:numId w:val="6"/>
        </w:numPr>
        <w:jc w:val="center"/>
        <w:spacing w:before="0" w:after="0" w:line="240" w:lineRule="auto"/>
        <w:rPr>
          <w:rFonts w:hint="eastAsia"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8、采购本国产品的支持政策</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8.3 本项目政府采购活动中既有本国产品又有非本国产品参与竞争的，依法对本国产品给予价格评审优惠，对本国产品的报价给予  20%的价格扣除，用扣除后的价格参与评审。</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w:t>
      </w:r>
      <w:r>
        <w:rPr>
          <w:rFonts w:hint="eastAsia" w:cs="仿宋" w:asciiTheme="minorEastAsia" w:hAnsiTheme="minorEastAsia" w:eastAsiaTheme="minorEastAsia"/>
          <w:color w:val="000000" w:themeColor="text1"/>
          <w:shd w:val="clear" w:color="auto" w:fill="ffffff"/>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8.5 供应商需按照招标文件的要求提供《关于符合本国产品标准的声明函》（以下简称《声明函》），如不提供将不享受本国产品价格评审优惠。</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1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r>
      <w:r/>
    </w:p>
    <w:tbl>
      <w:tblPr>
        <w:tblpPr w:horzAnchor="page" w:tblpX="1591" w:vertAnchor="text" w:tblpY="287" w:leftFromText="180" w:topFromText="0" w:rightFromText="180" w:bottomFromText="0"/>
        <w:tblW w:w="88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71"/>
        <w:gridCol w:w="6580"/>
        <w:gridCol w:w="906"/>
      </w:tblGrid>
      <w:tr>
        <w:trPr>
          <w:tblHeader/>
        </w:trPr>
        <w:tc>
          <w:tcPr>
            <w:tcW w:w="1371" w:type="dxa"/>
            <w:vAlign w:val="center"/>
            <w:textDirection w:val="lrTb"/>
            <w:noWrap w:val="false"/>
          </w:tcPr>
          <w:p>
            <w:pPr>
              <w:jc w:val="center"/>
              <w:rPr>
                <w:rFonts w:hint="eastAsia" w:ascii="宋体" w:hAnsi="宋体" w:eastAsia="宋体" w:cs="宋体"/>
                <w:b/>
                <w:bCs/>
                <w:sz w:val="24"/>
                <w:szCs w:val="24"/>
              </w:rPr>
            </w:pPr>
            <w:r/>
            <w:bookmarkStart w:id="44" w:name="_Hlk147842034"/>
            <w:r>
              <w:rPr>
                <w:rFonts w:hint="eastAsia" w:ascii="宋体" w:hAnsi="宋体" w:eastAsia="宋体" w:cs="宋体"/>
                <w:b/>
                <w:bCs/>
                <w:sz w:val="24"/>
                <w:szCs w:val="24"/>
              </w:rPr>
              <w:t xml:space="preserve">评分要求</w:t>
            </w:r>
            <w:r/>
          </w:p>
        </w:tc>
        <w:tc>
          <w:tcPr>
            <w:tcW w:w="65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评审内容</w:t>
            </w:r>
            <w:r/>
          </w:p>
        </w:tc>
        <w:tc>
          <w:tcPr>
            <w:tcW w:w="9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tc>
          <w:tcPr>
            <w:tcW w:w="137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报价（30分）</w:t>
            </w:r>
            <w:r/>
          </w:p>
        </w:tc>
        <w:tc>
          <w:tcPr>
            <w:tcW w:w="658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p>
        </w:tc>
        <w:tc>
          <w:tcPr>
            <w:tcW w:w="90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30</w:t>
            </w:r>
            <w:r/>
          </w:p>
        </w:tc>
      </w:tr>
      <w:tr>
        <w:trPr/>
        <w:tc>
          <w:tcPr>
            <w:tcW w:w="137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技术参数（36分）</w:t>
            </w:r>
            <w:r/>
          </w:p>
        </w:tc>
        <w:tc>
          <w:tcPr>
            <w:tcW w:w="658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投标人所投设备技术参数完全满足招标文件技术要求不得分。其中：</w:t>
            </w:r>
            <w:r>
              <w:rPr>
                <w:rFonts w:hint="eastAsia" w:ascii="宋体" w:hAnsi="宋体" w:eastAsia="宋体" w:cs="宋体"/>
                <w:bCs/>
                <w:sz w:val="24"/>
                <w:szCs w:val="24"/>
              </w:rPr>
              <w:t xml:space="preserve">★技术指标为本次招标核心要求，不满足或未提供证明材料作无效投标处理。</w:t>
            </w:r>
            <w:r>
              <w:rPr>
                <w:rFonts w:hint="eastAsia" w:ascii="宋体" w:hAnsi="宋体" w:eastAsia="宋体" w:cs="宋体"/>
                <w:sz w:val="24"/>
                <w:szCs w:val="24"/>
              </w:rPr>
              <w:t xml:space="preserve">以下所列参数为重要技术参数，投标产品技术性能指标优于招标文件技术要求，并且提供相关证明文件可加分，每条参数逐条评分，最高不超过36分。</w:t>
            </w:r>
            <w:r/>
          </w:p>
          <w:p>
            <w:pPr>
              <w:jc w:val="left"/>
              <w:rPr>
                <w:rFonts w:hint="eastAsia" w:ascii="宋体" w:hAnsi="宋体" w:eastAsia="宋体" w:cs="宋体"/>
                <w:sz w:val="24"/>
                <w:szCs w:val="24"/>
              </w:rPr>
            </w:pPr>
            <w:r>
              <w:rPr>
                <w:rFonts w:hint="eastAsia" w:ascii="宋体" w:hAnsi="宋体" w:eastAsia="宋体" w:cs="宋体"/>
                <w:sz w:val="24"/>
                <w:szCs w:val="24"/>
              </w:rPr>
              <w:t xml:space="preserve">1、球管焦点到等中心点的距离≤60cm得2分；≤55cm得4分。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2、每排探测器物理单元数≥670个得2分；≥845个得4分。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3、小焦点大小：≤0.65mm得2分；≤0.45mm得4分。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4、大焦点面积：≤1.2mm得2分；≤0.9mm得4分。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5、最长连续曝光时间：≥120s，得2分；≥200s，得4分。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6、球管散热率（非等效）：≥1000Khu/min或5kw，得2</w:t>
            </w:r>
            <w:r>
              <w:rPr>
                <w:rFonts w:hint="eastAsia" w:ascii="宋体" w:hAnsi="宋体" w:eastAsia="宋体" w:cs="宋体"/>
                <w:sz w:val="24"/>
                <w:szCs w:val="24"/>
              </w:rPr>
              <w:t xml:space="preserve">分；≥1600Khu/min或5kw，得4分。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7、球管焦点到探测器的距离≤110cm得2分，球管焦点到探测器的距离≤96cm得4分。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8、球管输出电流范围≥5-550mA，得2分；≥5-600mA得4分。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9、重建矩阵≥512*512得2分；重建矩阵≥1024*1024得4分。</w:t>
            </w:r>
            <w:r/>
          </w:p>
          <w:p>
            <w:pPr>
              <w:jc w:val="left"/>
              <w:rPr>
                <w:rFonts w:hint="eastAsia" w:ascii="宋体" w:hAnsi="宋体" w:eastAsia="宋体" w:cs="宋体"/>
                <w:sz w:val="24"/>
                <w:szCs w:val="24"/>
              </w:rPr>
            </w:pPr>
            <w:r>
              <w:rPr>
                <w:rFonts w:hint="eastAsia" w:ascii="宋体" w:hAnsi="宋体" w:eastAsia="宋体" w:cs="宋体"/>
                <w:sz w:val="24"/>
                <w:szCs w:val="24"/>
              </w:rPr>
              <w:t xml:space="preserve">（注：所有技术参数需提供以下任意一种证明材料并加盖投标单位公章：1、医疗器械注册证及附件2、具有国家认可的第三方检测机构出具的检验检测报告复印件3、产品官方网站页面4、产品公开发行的宣传彩页 5、产品技术白皮书 6、设备铭牌或产品使用说明书。未按要求提供的视为负偏离。） </w:t>
            </w:r>
            <w:r/>
          </w:p>
        </w:tc>
        <w:tc>
          <w:tcPr>
            <w:tcW w:w="90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36</w:t>
            </w:r>
            <w:r/>
          </w:p>
        </w:tc>
      </w:tr>
      <w:tr>
        <w:trPr/>
        <w:tc>
          <w:tcPr>
            <w:tcW w:w="137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所投产品综合性能评价（10分）</w:t>
            </w:r>
            <w:r/>
          </w:p>
        </w:tc>
        <w:tc>
          <w:tcPr>
            <w:tcW w:w="658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jc w:val="left"/>
              <w:rPr>
                <w:rFonts w:hint="eastAsia" w:ascii="宋体" w:hAnsi="宋体" w:eastAsia="宋体" w:cs="宋体"/>
                <w:sz w:val="24"/>
                <w:szCs w:val="24"/>
              </w:rPr>
            </w:pPr>
            <w:r>
              <w:rPr>
                <w:rFonts w:hint="eastAsia" w:ascii="宋体" w:hAnsi="宋体" w:eastAsia="宋体" w:cs="宋体"/>
                <w:sz w:val="24"/>
                <w:szCs w:val="24"/>
              </w:rPr>
              <w:t xml:space="preserve">1、产品设计（2分）：评委根据投标文件提供的佐证材料进行评审，产品设计优于招标文件要求得2分；符合招标文件要求得1分；不满足或未提供有效佐证材料不得分。</w:t>
            </w:r>
            <w:r/>
          </w:p>
          <w:p>
            <w:pPr>
              <w:jc w:val="left"/>
              <w:rPr>
                <w:rFonts w:hint="eastAsia" w:ascii="宋体" w:hAnsi="宋体" w:eastAsia="宋体" w:cs="宋体"/>
                <w:sz w:val="24"/>
                <w:szCs w:val="24"/>
              </w:rPr>
            </w:pPr>
            <w:r>
              <w:rPr>
                <w:rFonts w:hint="eastAsia" w:ascii="宋体" w:hAnsi="宋体" w:eastAsia="宋体" w:cs="宋体"/>
                <w:sz w:val="24"/>
                <w:szCs w:val="24"/>
              </w:rPr>
              <w:t xml:space="preserve">2、产品制造工艺（2分）：评委根据投标文件提供的佐证材料进行评审，产品制造工艺优于招标文件要求得2分；符合招标文件要求得1分；不满足或未提供有效佐证材料不得分。</w:t>
            </w:r>
            <w:r/>
          </w:p>
          <w:p>
            <w:pPr>
              <w:jc w:val="left"/>
              <w:rPr>
                <w:rFonts w:hint="eastAsia" w:ascii="宋体" w:hAnsi="宋体" w:eastAsia="宋体" w:cs="宋体"/>
                <w:sz w:val="24"/>
                <w:szCs w:val="24"/>
              </w:rPr>
            </w:pPr>
            <w:r>
              <w:rPr>
                <w:rFonts w:hint="eastAsia" w:ascii="宋体" w:hAnsi="宋体" w:eastAsia="宋体" w:cs="宋体"/>
                <w:sz w:val="24"/>
                <w:szCs w:val="24"/>
              </w:rPr>
              <w:t xml:space="preserve">3、产品安全性(2分)：评委根据投标文件提供的佐证材料进行评审，产品安全性优于招标文件要求得2分；符合招标文件要求得1分；不满足或未提供有效佐证材料不得分。</w:t>
            </w:r>
            <w:r/>
          </w:p>
          <w:p>
            <w:pPr>
              <w:jc w:val="left"/>
              <w:rPr>
                <w:rFonts w:hint="eastAsia" w:ascii="宋体" w:hAnsi="宋体" w:eastAsia="宋体" w:cs="宋体"/>
                <w:sz w:val="24"/>
                <w:szCs w:val="24"/>
              </w:rPr>
            </w:pPr>
            <w:r>
              <w:rPr>
                <w:rFonts w:hint="eastAsia" w:ascii="宋体" w:hAnsi="宋体" w:eastAsia="宋体" w:cs="宋体"/>
                <w:sz w:val="24"/>
                <w:szCs w:val="24"/>
              </w:rPr>
              <w:t xml:space="preserve">4、产品稳定性（2分）：评委根据投标文件提供的佐证材料进行评审，产品稳定性性优于招标文件要求得2分；符合招标文件要求得1分；不满足或未提供有效佐证材料不得分。</w:t>
            </w:r>
            <w:r/>
          </w:p>
          <w:p>
            <w:pPr>
              <w:jc w:val="left"/>
              <w:rPr>
                <w:rFonts w:hint="eastAsia" w:ascii="宋体" w:hAnsi="宋体" w:eastAsia="宋体" w:cs="宋体"/>
                <w:sz w:val="24"/>
                <w:szCs w:val="24"/>
              </w:rPr>
            </w:pPr>
            <w:r>
              <w:rPr>
                <w:rFonts w:hint="eastAsia" w:ascii="宋体" w:hAnsi="宋体" w:eastAsia="宋体" w:cs="宋体"/>
                <w:sz w:val="24"/>
                <w:szCs w:val="24"/>
              </w:rPr>
              <w:t xml:space="preserve">5、产品易用性（2分）：评委根据投标文件提供的佐证材料进行评审，所投产品操作界面、操作流程等方面优于招标文件要求得2分；符合招标文件要求得1分；不满足或未提供有效佐证材料不得分。</w:t>
            </w:r>
            <w:r/>
          </w:p>
        </w:tc>
        <w:tc>
          <w:tcPr>
            <w:tcW w:w="90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r>
      <w:tr>
        <w:trPr/>
        <w:tc>
          <w:tcPr>
            <w:tcW w:w="137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项目实施、验收及培训方案（12分）</w:t>
            </w:r>
            <w:r/>
          </w:p>
        </w:tc>
        <w:tc>
          <w:tcPr>
            <w:tcW w:w="658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项目实施方案(4分)：由评委根据投标人在协议期内按期供货、安装调试方案、巡检方案以及方案的科学合理、完整、切实可行性等内容进行打分；方案优于招标文件要求的得4分；方案符合招标文件要求的得1分；其他或未提供的不得分。</w:t>
            </w:r>
            <w:r/>
          </w:p>
          <w:p>
            <w:pPr>
              <w:jc w:val="left"/>
              <w:rPr>
                <w:rFonts w:hint="eastAsia" w:ascii="宋体" w:hAnsi="宋体" w:eastAsia="宋体" w:cs="宋体"/>
                <w:sz w:val="24"/>
                <w:szCs w:val="24"/>
              </w:rPr>
            </w:pPr>
            <w:r>
              <w:rPr>
                <w:rFonts w:hint="eastAsia" w:ascii="宋体" w:hAnsi="宋体" w:eastAsia="宋体" w:cs="宋体"/>
                <w:sz w:val="24"/>
                <w:szCs w:val="24"/>
              </w:rPr>
              <w:t xml:space="preserve">2、项目验收方案(4分)：投标人应根据招标文件及本项目特点，提供项目验收方案，方案优于招标文件要求的得4分；方案符合招标文件要求的得1分；其他或未提供的不得分。</w:t>
            </w:r>
            <w:r/>
          </w:p>
          <w:p>
            <w:pPr>
              <w:jc w:val="left"/>
              <w:rPr>
                <w:rFonts w:hint="eastAsia" w:ascii="宋体" w:hAnsi="宋体" w:eastAsia="宋体" w:cs="宋体"/>
                <w:sz w:val="24"/>
                <w:szCs w:val="24"/>
              </w:rPr>
            </w:pPr>
            <w:r>
              <w:rPr>
                <w:rFonts w:hint="eastAsia" w:ascii="宋体" w:hAnsi="宋体" w:eastAsia="宋体" w:cs="宋体"/>
                <w:sz w:val="24"/>
                <w:szCs w:val="24"/>
              </w:rPr>
              <w:t xml:space="preserve">3、项目培训方案(4分)：投标人应根据招标文件要求提供培训服务，并针对本次项目提供培训方案、师资、教材等，方案优于招标文件要求的4分；方案符合招标文件要求的得1分；其他或未提供的不得分。</w:t>
            </w:r>
            <w:r/>
          </w:p>
        </w:tc>
        <w:tc>
          <w:tcPr>
            <w:tcW w:w="90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r>
      <w:tr>
        <w:trPr/>
        <w:tc>
          <w:tcPr>
            <w:tcW w:w="137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售后服务承诺情况（6分）</w:t>
            </w:r>
            <w:r/>
          </w:p>
        </w:tc>
        <w:tc>
          <w:tcPr>
            <w:tcW w:w="658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售后服务实施响应(5分)：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5分，不符合或未提供的不得分。  </w:t>
            </w:r>
            <w:r/>
          </w:p>
          <w:p>
            <w:pPr>
              <w:jc w:val="left"/>
              <w:rPr>
                <w:rFonts w:hint="eastAsia" w:ascii="宋体" w:hAnsi="宋体" w:eastAsia="宋体" w:cs="宋体"/>
                <w:sz w:val="24"/>
                <w:szCs w:val="24"/>
              </w:rPr>
            </w:pPr>
            <w:r>
              <w:rPr>
                <w:rFonts w:hint="eastAsia" w:ascii="宋体" w:hAnsi="宋体" w:eastAsia="宋体" w:cs="宋体"/>
                <w:sz w:val="24"/>
                <w:szCs w:val="24"/>
              </w:rPr>
              <w:t xml:space="preserve">2、质保期承诺（1分）：投标人提供的售后服务承诺书需响应招标文件要求的免费质保期3年，得1分（投标人承诺签订合同前提供制造商出具的免费质保期承诺函，未提供的不得分。</w:t>
            </w:r>
            <w:r/>
          </w:p>
        </w:tc>
        <w:tc>
          <w:tcPr>
            <w:tcW w:w="90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r>
      <w:tr>
        <w:trPr/>
        <w:tc>
          <w:tcPr>
            <w:tcW w:w="137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产品业绩（6分）</w:t>
            </w:r>
            <w:r/>
          </w:p>
        </w:tc>
        <w:tc>
          <w:tcPr>
            <w:tcW w:w="658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由评委根据投标文件中有关投标类似产品（主要标的物：同品牌同型号CT）的经营业绩情况进行评审。2023年1月1日以来完成的与本项目同品牌同型号CT的业绩，每提供一份业绩合同（提供合同完整合同复印件），得2分，最高得6分；并由投标人提供经营业绩情况说明列表，内容主要包括买方名称、供货机型、合同金额、数量、签订时间等，采购人将根据此表随机抽查，如有虚假将取消中标人资格。（企业之间的合同无效）。</w:t>
            </w:r>
            <w:r/>
          </w:p>
        </w:tc>
        <w:tc>
          <w:tcPr>
            <w:tcW w:w="90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r>
    </w:tbl>
    <w:p>
      <w:pPr>
        <w:pStyle w:val="813"/>
        <w:ind w:firstLine="0"/>
        <w:rPr>
          <w:rFonts w:hint="eastAsia" w:cs="仿宋" w:asciiTheme="minorEastAsia" w:hAnsiTheme="minorEastAsia" w:eastAsiaTheme="minorEastAsia"/>
          <w:b/>
          <w:color w:val="000000" w:themeColor="text1"/>
          <w:sz w:val="24"/>
          <w:szCs w:val="24"/>
        </w:rPr>
      </w:pPr>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13"/>
        <w:ind w:firstLine="0"/>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w:t>
      </w:r>
      <w:bookmarkEnd w:id="44"/>
      <w:r/>
      <w:r/>
    </w:p>
    <w:p>
      <w:pP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r>
      <w:r/>
    </w:p>
    <w:p>
      <w:pPr>
        <w:jc w:val="cente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hint="eastAsia" w:ascii="宋体" w:hAnsi="宋体" w:eastAsia="宋体" w:cs="仿宋"/>
          <w:bCs/>
          <w:color w:val="000000" w:themeColor="text1"/>
          <w:sz w:val="24"/>
          <w:szCs w:val="24"/>
        </w:rPr>
      </w:pPr>
      <w:r>
        <w:rPr>
          <w:rFonts w:hint="eastAsia" w:ascii="宋体" w:hAnsi="宋体" w:eastAsia="宋体" w:cs="仿宋"/>
          <w:bCs/>
          <w:color w:val="000000" w:themeColor="text1"/>
          <w:sz w:val="24"/>
          <w:szCs w:val="24"/>
        </w:rPr>
      </w:r>
      <w:r/>
    </w:p>
    <w:p>
      <w:pPr>
        <w:ind w:firstLine="480"/>
        <w:spacing w:line="360" w:lineRule="auto"/>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注：本合同仅为合同的参考文本，合同签订双方可根据项目的具体要求进行修订，但不得更改实质性要求。</w:t>
      </w:r>
      <w:r/>
    </w:p>
    <w:p>
      <w:pPr>
        <w:jc w:val="center"/>
        <w:spacing w:line="360" w:lineRule="auto"/>
        <w:rPr>
          <w:rStyle w:val="816"/>
          <w:rFonts w:hint="eastAsia" w:cs="Arial" w:asciiTheme="minorEastAsia" w:hAnsiTheme="minorEastAsia" w:eastAsiaTheme="minorEastAsia"/>
          <w:bCs/>
          <w:i w:val="0"/>
          <w:color w:val="000000" w:themeColor="text1"/>
          <w:sz w:val="24"/>
          <w:szCs w:val="24"/>
        </w:rPr>
      </w:pPr>
      <w:r>
        <w:rPr>
          <w:rStyle w:val="816"/>
          <w:rFonts w:hint="eastAsia" w:cs="Arial" w:asciiTheme="minorEastAsia" w:hAnsiTheme="minorEastAsia" w:eastAsiaTheme="minorEastAsia"/>
          <w:bCs/>
          <w:i w:val="0"/>
          <w:color w:val="000000" w:themeColor="text1"/>
          <w:sz w:val="24"/>
          <w:szCs w:val="24"/>
        </w:rPr>
        <w:t xml:space="preserve">医疗设备采购合同        </w:t>
      </w:r>
      <w:r/>
    </w:p>
    <w:p>
      <w:pPr>
        <w:jc w:val="left"/>
        <w:spacing w:line="360" w:lineRule="auto"/>
        <w:rPr>
          <w:rStyle w:val="816"/>
          <w:rFonts w:hint="eastAsia" w:cs="Arial" w:asciiTheme="minorEastAsia" w:hAnsiTheme="minorEastAsia" w:eastAsiaTheme="minorEastAsia"/>
          <w:b/>
          <w:bCs/>
          <w:i w:val="0"/>
          <w:color w:val="000000" w:themeColor="text1"/>
          <w:sz w:val="24"/>
          <w:szCs w:val="24"/>
        </w:rPr>
      </w:pPr>
      <w:r>
        <w:rPr>
          <w:rStyle w:val="816"/>
          <w:rFonts w:hint="eastAsia" w:cs="Arial" w:asciiTheme="minorEastAsia" w:hAnsiTheme="minorEastAsia" w:eastAsiaTheme="minorEastAsia"/>
          <w:i w:val="0"/>
          <w:color w:val="000000" w:themeColor="text1"/>
          <w:sz w:val="24"/>
          <w:szCs w:val="24"/>
        </w:rPr>
        <w:t xml:space="preserve">                                         合同编号：</w:t>
      </w:r>
      <w:r>
        <w:rPr>
          <w:rStyle w:val="816"/>
          <w:rFonts w:hint="eastAsia" w:cs="仿宋" w:asciiTheme="minorEastAsia" w:hAnsiTheme="minorEastAsia" w:eastAsiaTheme="minorEastAsia"/>
          <w:bCs/>
          <w:i w:val="0"/>
          <w:color w:val="000000" w:themeColor="text1"/>
          <w:sz w:val="24"/>
          <w:szCs w:val="24"/>
        </w:rPr>
        <w:t xml:space="preserve">SB2026-     </w:t>
      </w:r>
      <w:r/>
    </w:p>
    <w:p>
      <w:pPr>
        <w:jc w:val="left"/>
        <w:spacing w:line="360" w:lineRule="auto"/>
        <w:rPr>
          <w:rStyle w:val="816"/>
          <w:rFonts w:hint="eastAsia" w:cs="Arial" w:asciiTheme="minorEastAsia" w:hAnsiTheme="minorEastAsia" w:eastAsiaTheme="minorEastAsia"/>
          <w:b/>
          <w:bCs/>
          <w:i w:val="0"/>
          <w:color w:val="000000" w:themeColor="text1"/>
          <w:sz w:val="24"/>
          <w:szCs w:val="24"/>
        </w:rPr>
      </w:pPr>
      <w:r>
        <w:rPr>
          <w:rStyle w:val="816"/>
          <w:rFonts w:hint="eastAsia" w:cs="Arial" w:asciiTheme="minorEastAsia" w:hAnsiTheme="minorEastAsia" w:eastAsiaTheme="minorEastAsia"/>
          <w:bCs/>
          <w:i w:val="0"/>
          <w:color w:val="000000" w:themeColor="text1"/>
          <w:sz w:val="24"/>
          <w:szCs w:val="24"/>
        </w:rPr>
        <w:t xml:space="preserve">甲方（买方）：泰州市姜堰中医院            乙方（卖方）：</w:t>
      </w:r>
      <w:r>
        <w:rPr>
          <w:rFonts w:hint="eastAsia" w:cs="仿宋" w:asciiTheme="minorEastAsia" w:hAnsiTheme="minorEastAsia" w:eastAsiaTheme="minorEastAsia"/>
          <w:bCs/>
          <w:color w:val="000000" w:themeColor="text1"/>
          <w:sz w:val="24"/>
          <w:szCs w:val="24"/>
        </w:rPr>
        <w:t xml:space="preserve">    公司          </w:t>
      </w:r>
      <w:r/>
    </w:p>
    <w:p>
      <w:pPr>
        <w:spacing w:line="360" w:lineRule="auto"/>
        <w:rPr>
          <w:rStyle w:val="816"/>
          <w:rFonts w:hint="eastAsia" w:cs="Arial" w:asciiTheme="minorEastAsia" w:hAnsiTheme="minorEastAsia" w:eastAsiaTheme="minorEastAsia"/>
          <w:b/>
          <w:bCs/>
          <w:i w:val="0"/>
          <w:color w:val="000000" w:themeColor="text1"/>
          <w:sz w:val="24"/>
          <w:szCs w:val="24"/>
        </w:rPr>
      </w:pPr>
      <w:r>
        <w:rPr>
          <w:rStyle w:val="816"/>
          <w:rFonts w:hint="eastAsia" w:cs="Arial" w:asciiTheme="minorEastAsia" w:hAnsiTheme="minorEastAsia" w:eastAsiaTheme="minorEastAsia"/>
          <w:bCs/>
          <w:i w:val="0"/>
          <w:color w:val="000000" w:themeColor="text1"/>
          <w:sz w:val="24"/>
          <w:szCs w:val="24"/>
        </w:rPr>
        <w:t xml:space="preserve">见证方（招标代理机构）：</w:t>
      </w:r>
      <w:r/>
    </w:p>
    <w:p>
      <w:pPr>
        <w:ind w:firstLine="480"/>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根据《民法典》及我国相关法律法规，甲、乙双方在平等、自愿的基础上，经充分友好协商，现就甲方购买乙方设备事项达成以下合同条款,以共同遵守： </w:t>
      </w:r>
      <w:r/>
    </w:p>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一、定购内容：</w:t>
      </w:r>
      <w:r/>
    </w:p>
    <w:tbl>
      <w:tblPr>
        <w:tblW w:w="835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3"/>
        <w:gridCol w:w="1080"/>
        <w:gridCol w:w="1425"/>
        <w:gridCol w:w="1473"/>
        <w:gridCol w:w="1215"/>
        <w:gridCol w:w="1362"/>
      </w:tblGrid>
      <w:tr>
        <w:trPr>
          <w:trHeight w:val="656"/>
        </w:trPr>
        <w:tc>
          <w:tcPr>
            <w:tcW w:w="180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货物名称</w:t>
            </w:r>
            <w:r/>
          </w:p>
        </w:tc>
        <w:tc>
          <w:tcPr>
            <w:tcW w:w="1080"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品牌/型号</w:t>
            </w:r>
            <w:r/>
          </w:p>
        </w:tc>
        <w:tc>
          <w:tcPr>
            <w:tcW w:w="142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数量  （套、台）</w:t>
            </w:r>
            <w:r/>
          </w:p>
        </w:tc>
        <w:tc>
          <w:tcPr>
            <w:tcW w:w="147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单价   （人民币元）</w:t>
            </w:r>
            <w:r/>
          </w:p>
        </w:tc>
        <w:tc>
          <w:tcPr>
            <w:tcW w:w="121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总价  （人民币元）</w:t>
            </w:r>
            <w:r/>
          </w:p>
        </w:tc>
        <w:tc>
          <w:tcPr>
            <w:tcW w:w="1362"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备注(注册证号)</w:t>
            </w:r>
            <w:r/>
          </w:p>
        </w:tc>
      </w:tr>
      <w:tr>
        <w:trPr>
          <w:trHeight w:val="297"/>
        </w:trPr>
        <w:tc>
          <w:tcPr>
            <w:tcW w:w="180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1080"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142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147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121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1362"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488"/>
        </w:trPr>
        <w:tc>
          <w:tcPr>
            <w:tcW w:w="1803" w:type="dxa"/>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合计（大写）</w:t>
            </w:r>
            <w:r/>
          </w:p>
        </w:tc>
        <w:tc>
          <w:tcPr>
            <w:gridSpan w:val="5"/>
            <w:tcW w:w="6555" w:type="dxa"/>
            <w:textDirection w:val="lrTb"/>
            <w:noWrap w:val="false"/>
          </w:tcPr>
          <w:p>
            <w:pPr>
              <w:jc w:val="center"/>
              <w:spacing w:line="360" w:lineRule="auto"/>
              <w:tabs>
                <w:tab w:val="left" w:pos="3932" w:leader="none"/>
              </w:tabs>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（人民币）</w:t>
            </w:r>
            <w:r/>
          </w:p>
        </w:tc>
      </w:tr>
    </w:tbl>
    <w:p>
      <w:pPr>
        <w:ind w:firstLine="480"/>
        <w:spacing w:line="360" w:lineRule="auto"/>
        <w:rPr>
          <w:rStyle w:val="816"/>
          <w:rFonts w:hint="eastAsia" w:cs="Arial" w:asciiTheme="minorEastAsia" w:hAnsiTheme="minorEastAsia" w:eastAsiaTheme="minorEastAsia"/>
          <w:b/>
          <w:bCs/>
          <w:i w:val="0"/>
          <w:color w:val="000000" w:themeColor="text1"/>
          <w:sz w:val="24"/>
          <w:szCs w:val="24"/>
        </w:rPr>
      </w:pPr>
      <w:r>
        <w:rPr>
          <w:rStyle w:val="816"/>
          <w:rFonts w:hint="eastAsia" w:cs="Arial" w:asciiTheme="minorEastAsia" w:hAnsiTheme="minorEastAsia" w:eastAsiaTheme="minorEastAsia"/>
          <w:bCs/>
          <w:i w:val="0"/>
          <w:color w:val="000000" w:themeColor="text1"/>
          <w:sz w:val="24"/>
          <w:szCs w:val="24"/>
        </w:rPr>
        <w:t xml:space="preserve">该价款包括但不限于：货款、海关税款、外贸手续费、清关费用、港口杂费、内陆运保费、货到医院所在地的商检费用以及设备的国内外配套采购件的费用、安装、调试、检测、培训、验收合格交付使用之前及质保期内售后技术服务与零配件费用等所有其他各项的含税费用。本合同执行期间合同单价不变，甲方无须另向乙方支付本合同规定之外的其他任何费用。</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二、主体资格及知识产权承诺</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1.乙方应保证其对该设备拥有完全的所有权或已得到所有者充分的销售授权，并确保向甲方提供的所有资质文件真实有效。</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2.乙方应保证其拥有该设备涉及的包括但不限于软件在内的所有知识产权。</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三、所购设备配置</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该合同价款包括了附件1《设备配置清单》中所列所有部件，乙方承诺所有配件均为该设备原装全新配件。</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四、交货时间和地点</w:t>
      </w:r>
      <w:r/>
    </w:p>
    <w:p>
      <w:pPr>
        <w:pStyle w:val="789"/>
        <w:ind w:left="482"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自本合同签订生效之日起</w:t>
      </w:r>
      <w:r>
        <w:rPr>
          <w:rFonts w:hint="eastAsia" w:asciiTheme="minorEastAsia" w:hAnsiTheme="minorEastAsia" w:eastAsiaTheme="minorEastAsia"/>
          <w:bCs/>
          <w:color w:val="000000" w:themeColor="text1"/>
          <w:sz w:val="24"/>
          <w:szCs w:val="24"/>
          <w:u w:val="single"/>
        </w:rPr>
        <w:t xml:space="preserve">      </w:t>
      </w:r>
      <w:r>
        <w:rPr>
          <w:rFonts w:hint="eastAsia" w:asciiTheme="minorEastAsia" w:hAnsiTheme="minorEastAsia" w:eastAsiaTheme="minorEastAsia"/>
          <w:bCs/>
          <w:color w:val="000000" w:themeColor="text1"/>
          <w:sz w:val="24"/>
          <w:szCs w:val="24"/>
        </w:rPr>
        <w:t xml:space="preserve">个日历日内，由乙方送货至甲方指定科室并安装完毕。最终验收合格前，设备的所有风险由乙方承担。</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五、设备初步验收</w:t>
      </w:r>
      <w:r/>
    </w:p>
    <w:p>
      <w:pPr>
        <w:ind w:firstLine="720"/>
        <w:jc w:val="left"/>
        <w:spacing w:line="360" w:lineRule="auto"/>
        <w:rPr>
          <w:rFonts w:hint="eastAsia"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特别提醒条款：设备到货时间，请乙方至少提前三天通知甲方，以便甲方安排好相关收货工作。设备到达甲方医院时，乙方代表必须随机到达，由乙方负责卸货并搬运至甲方指定地点，待设备搬运完毕后，甲乙双方办理交接手续。如未按上述规定执行，造成的一切后果全部由乙方承担。</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2、初步验收需同时满足下列内容：</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（1）本合同及附表</w:t>
      </w:r>
      <w:r>
        <w:rPr>
          <w:rFonts w:hint="eastAsia" w:asciiTheme="minorEastAsia" w:hAnsiTheme="minorEastAsia" w:eastAsiaTheme="minorEastAsia"/>
          <w:bCs/>
          <w:color w:val="000000" w:themeColor="text1"/>
          <w:sz w:val="24"/>
          <w:szCs w:val="24"/>
        </w:rPr>
        <w:t xml:space="preserve">《设备配置清单》</w:t>
      </w:r>
      <w:r>
        <w:rPr>
          <w:rFonts w:hint="eastAsia" w:cs="楷体_GB2312" w:asciiTheme="minorEastAsia" w:hAnsiTheme="minorEastAsia" w:eastAsiaTheme="minorEastAsia"/>
          <w:bCs/>
          <w:color w:val="000000" w:themeColor="text1"/>
          <w:sz w:val="24"/>
          <w:szCs w:val="24"/>
        </w:rPr>
        <w:t xml:space="preserve">中约定的所有要求；</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特别提醒条款：所提供医疗器械产品注册证必须真实有效；所提供设备上的中文品名、型号及产品说明书所注适用范围必须与医疗器械产品注册证所标明的完全一致；医疗设备上的铭牌必须标注医疗器械注册证号；发票上所列品名与型号必须与合同所列品名与型号完全一致；其他未提及事项必须符合国家食品药品监督管理局的相关规定。以上条款必须满足，否则由此引起的一切责任由乙方负责。</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乙方提供设备的合法性文件、说明产品使用、证明产品质量的所有书面文件：包括但不限于装箱单、注册证、设备说明书（或用户手册）、保修卡、合格证（国产）、进口产品报关单复印件以及商检报告等相关资料。</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六、设备复验</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1、设备初验合格后 </w:t>
      </w:r>
      <w:r>
        <w:rPr>
          <w:rFonts w:hint="eastAsia" w:cs="楷体_GB2312" w:asciiTheme="minorEastAsia" w:hAnsiTheme="minorEastAsia" w:eastAsiaTheme="minorEastAsia"/>
          <w:bCs/>
          <w:color w:val="000000" w:themeColor="text1"/>
          <w:sz w:val="24"/>
          <w:szCs w:val="24"/>
          <w:u w:val="single"/>
        </w:rPr>
        <w:t xml:space="preserve">    </w:t>
      </w:r>
      <w:r>
        <w:rPr>
          <w:rFonts w:hint="eastAsia" w:cs="楷体_GB2312" w:asciiTheme="minorEastAsia" w:hAnsiTheme="minorEastAsia" w:eastAsiaTheme="minorEastAsia"/>
          <w:bCs/>
          <w:color w:val="000000" w:themeColor="text1"/>
          <w:sz w:val="24"/>
          <w:szCs w:val="24"/>
        </w:rPr>
        <w:t xml:space="preserve">个工作日内，乙方应对设备进行调试完毕。</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2、调试期满后，乙方通知甲方进行设备复验。若设备未通过复验，甲方有权要求乙方在</w:t>
      </w:r>
      <w:r>
        <w:rPr>
          <w:rFonts w:hint="eastAsia" w:cs="楷体_GB2312" w:asciiTheme="minorEastAsia" w:hAnsiTheme="minorEastAsia" w:eastAsiaTheme="minorEastAsia"/>
          <w:bCs/>
          <w:color w:val="000000" w:themeColor="text1"/>
          <w:sz w:val="24"/>
          <w:szCs w:val="24"/>
          <w:u w:val="single"/>
        </w:rPr>
        <w:t xml:space="preserve">7</w:t>
      </w:r>
      <w:r>
        <w:rPr>
          <w:rFonts w:hint="eastAsia" w:cs="楷体_GB2312" w:asciiTheme="minorEastAsia" w:hAnsiTheme="minorEastAsia" w:eastAsiaTheme="minorEastAsia"/>
          <w:bCs/>
          <w:color w:val="000000" w:themeColor="text1"/>
          <w:sz w:val="24"/>
          <w:szCs w:val="24"/>
        </w:rPr>
        <w:t xml:space="preserve">个工作日内对设备完成重新调试。若仍并未通过复验，甲方有权要求乙方在与本合同第四条约定的相同日期内更换设备，并承担费用。若复验收合格的，签署验收合格文件。</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3、复验收需同时满足下列内容：</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（1）《投标文件》中注明的所有技术参数。</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（2）《医疗器械开箱验收鉴定书》规定的其他各项要求。《医疗器械开箱验收鉴定书》作为本合同的附件。</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七、试运行</w:t>
      </w:r>
      <w:r/>
    </w:p>
    <w:p>
      <w:pPr>
        <w:ind w:firstLine="570"/>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1、复验收合格后，进入试运行。试运行期</w:t>
      </w:r>
      <w:r>
        <w:rPr>
          <w:rFonts w:hint="eastAsia" w:cs="楷体_GB2312" w:asciiTheme="minorEastAsia" w:hAnsiTheme="minorEastAsia" w:eastAsiaTheme="minorEastAsia"/>
          <w:bCs/>
          <w:color w:val="000000" w:themeColor="text1"/>
          <w:sz w:val="24"/>
          <w:szCs w:val="24"/>
          <w:u w:val="single"/>
        </w:rPr>
        <w:t xml:space="preserve">   30   </w:t>
      </w:r>
      <w:r>
        <w:rPr>
          <w:rFonts w:hint="eastAsia" w:cs="楷体_GB2312" w:asciiTheme="minorEastAsia" w:hAnsiTheme="minorEastAsia" w:eastAsiaTheme="minorEastAsia"/>
          <w:bCs/>
          <w:color w:val="000000" w:themeColor="text1"/>
          <w:sz w:val="24"/>
          <w:szCs w:val="24"/>
        </w:rPr>
        <w:t xml:space="preserve">日。</w:t>
      </w:r>
      <w:r/>
    </w:p>
    <w:p>
      <w:pPr>
        <w:ind w:firstLine="570"/>
        <w:spacing w:line="360" w:lineRule="auto"/>
        <w:rPr>
          <w:rFonts w:hint="eastAsia" w:cs="楷体_GB2312" w:asciiTheme="minorEastAsia" w:hAnsiTheme="minorEastAsia" w:eastAsiaTheme="minorEastAsia"/>
          <w:b/>
          <w:bCs/>
          <w:color w:val="000000" w:themeColor="text1"/>
          <w:sz w:val="24"/>
          <w:szCs w:val="24"/>
          <w:u w:val="single"/>
        </w:rPr>
      </w:pPr>
      <w:r>
        <w:rPr>
          <w:rFonts w:hint="eastAsia" w:cs="楷体_GB2312" w:asciiTheme="minorEastAsia" w:hAnsiTheme="minorEastAsia" w:eastAsiaTheme="minorEastAsia"/>
          <w:bCs/>
          <w:color w:val="000000" w:themeColor="text1"/>
          <w:sz w:val="24"/>
          <w:szCs w:val="24"/>
        </w:rPr>
        <w:t xml:space="preserve">2、试运行期满，乙方通知甲方进行最终验收。</w:t>
      </w:r>
      <w:r>
        <w:rPr>
          <w:rFonts w:hint="eastAsia" w:asciiTheme="minorEastAsia" w:hAnsiTheme="minorEastAsia" w:eastAsiaTheme="minorEastAsia"/>
          <w:bCs/>
          <w:color w:val="000000" w:themeColor="text1"/>
          <w:sz w:val="24"/>
          <w:szCs w:val="24"/>
        </w:rPr>
        <w:t xml:space="preserve">验收不合格的，</w:t>
      </w:r>
      <w:r>
        <w:rPr>
          <w:rFonts w:hint="eastAsia" w:cs="楷体_GB2312" w:asciiTheme="minorEastAsia" w:hAnsiTheme="minorEastAsia" w:eastAsiaTheme="minorEastAsia"/>
          <w:bCs/>
          <w:color w:val="000000" w:themeColor="text1"/>
          <w:sz w:val="24"/>
          <w:szCs w:val="24"/>
        </w:rPr>
        <w:t xml:space="preserve">试运行期延长</w:t>
      </w:r>
      <w:r>
        <w:rPr>
          <w:rFonts w:hint="eastAsia" w:cs="楷体_GB2312" w:asciiTheme="minorEastAsia" w:hAnsiTheme="minorEastAsia" w:eastAsiaTheme="minorEastAsia"/>
          <w:bCs/>
          <w:color w:val="000000" w:themeColor="text1"/>
          <w:sz w:val="24"/>
          <w:szCs w:val="24"/>
          <w:u w:val="single"/>
        </w:rPr>
        <w:t xml:space="preserve">  30  </w:t>
      </w:r>
      <w:r>
        <w:rPr>
          <w:rFonts w:hint="eastAsia" w:cs="楷体_GB2312" w:asciiTheme="minorEastAsia" w:hAnsiTheme="minorEastAsia" w:eastAsiaTheme="minorEastAsia"/>
          <w:bCs/>
          <w:color w:val="000000" w:themeColor="text1"/>
          <w:sz w:val="24"/>
          <w:szCs w:val="24"/>
        </w:rPr>
        <w:t xml:space="preserve">日。若超过延长期仍未通过验收，甲方有权要求乙方在与本合同第四条约定的相同日期内更换设备，并承担费用。验收合格的，签署验收合格证明。</w:t>
      </w:r>
      <w:r>
        <w:rPr>
          <w:rFonts w:hint="eastAsia" w:asciiTheme="minorEastAsia" w:hAnsiTheme="minorEastAsia" w:eastAsiaTheme="minorEastAsia"/>
          <w:bCs/>
          <w:color w:val="000000" w:themeColor="text1"/>
          <w:sz w:val="24"/>
          <w:szCs w:val="24"/>
        </w:rPr>
        <w:t xml:space="preserve">该证明经使用科室负责人及设备科维修组工作人员签字生效。甲、乙类大型医用设备须取得合法的验收检测报告。</w:t>
      </w:r>
      <w:r/>
    </w:p>
    <w:p>
      <w:pPr>
        <w:pStyle w:val="789"/>
        <w:ind w:left="482"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验收标准：双方依据投标文件的技术响应承诺和本合同约定的条款对设备进行验收。遵从国家标准及相关行业标准按照就高不就低的原则执行，并且实际技术指标应与投标文件中所提供的技术指标一致。根据国家规定，如需要提供3C认证证书和标记的设备及有关配置，必须提供上述证书和标记。若有歧义，甲方有权委托中国有资格的单位对该设备进行质量检测，费用由乙方承担。</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八、人员培训</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乙方在制定完整的培训方案后（含计划、培训时间、次数、培训完成后的考核），交甲方审核。经甲方同意后，派专业技术人员到甲方指定的地点进行使用操作、设备维修、保养等技术的现场培训并提供快捷操作指南（塑料封好，挂在设备上）、培训课件PPT和考核试卷，必要时提供正规培训班培训，确保操作人员掌握日常工作所需的基本操作方法为止，工程技术人员掌握基本的维护保养操作技术为止。详见乙方的投标文件及承诺书。</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九、质量承诺</w:t>
      </w:r>
      <w:r/>
    </w:p>
    <w:p>
      <w:pPr>
        <w:ind w:firstLine="482"/>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1、乙方应保证该设备为</w:t>
      </w:r>
      <w:r>
        <w:rPr>
          <w:rFonts w:hint="eastAsia" w:asciiTheme="minorEastAsia" w:hAnsiTheme="minorEastAsia" w:eastAsiaTheme="minorEastAsia"/>
          <w:bCs/>
          <w:color w:val="000000" w:themeColor="text1"/>
          <w:sz w:val="24"/>
          <w:szCs w:val="24"/>
          <w:u w:val="single"/>
        </w:rPr>
        <w:t xml:space="preserve">   年    </w:t>
      </w:r>
      <w:r>
        <w:rPr>
          <w:rFonts w:hint="eastAsia" w:asciiTheme="minorEastAsia" w:hAnsiTheme="minorEastAsia" w:eastAsiaTheme="minorEastAsia"/>
          <w:bCs/>
          <w:color w:val="000000" w:themeColor="text1"/>
          <w:sz w:val="24"/>
          <w:szCs w:val="24"/>
        </w:rPr>
        <w:t xml:space="preserve"> 月以后原生产商生产的全新设备，是原装、整机，参数性能必须符合投标文件中的技术承诺和设备说明书（或用户手册）中规定的质量，并且应符合国家标准（在无国家标准时，符合行业标准），不得以假充真，以次充好。</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2、在质保期内乙方应保证甲方对该设备的使用达到正常使用时间每年不少于347天。</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3、如因设备质量瑕疵导致甲方无法正常使用或影响使用效果，由此与患者发生纠纷而导致甲方赔偿，乙方对此承担全部责任。</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十、设备保修及维修</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1、该套设备整机质保期限</w:t>
      </w:r>
      <w:r>
        <w:rPr>
          <w:rFonts w:hint="eastAsia" w:asciiTheme="minorEastAsia" w:hAnsiTheme="minorEastAsia" w:eastAsiaTheme="minorEastAsia"/>
          <w:bCs/>
          <w:color w:val="000000" w:themeColor="text1"/>
          <w:sz w:val="24"/>
          <w:szCs w:val="24"/>
          <w:u w:val="single"/>
        </w:rPr>
        <w:t xml:space="preserve">    </w:t>
      </w:r>
      <w:r>
        <w:rPr>
          <w:rFonts w:hint="eastAsia" w:asciiTheme="minorEastAsia" w:hAnsiTheme="minorEastAsia" w:eastAsiaTheme="minorEastAsia"/>
          <w:bCs/>
          <w:color w:val="000000" w:themeColor="text1"/>
          <w:sz w:val="24"/>
          <w:szCs w:val="24"/>
        </w:rPr>
        <w:t xml:space="preserve">年（附厂方售后服务承诺书），终身原厂工程师</w:t>
      </w:r>
      <w:r>
        <w:rPr>
          <w:rFonts w:hint="eastAsia" w:asciiTheme="minorEastAsia" w:hAnsiTheme="minorEastAsia" w:eastAsiaTheme="minorEastAsia"/>
          <w:bCs/>
          <w:color w:val="000000" w:themeColor="text1"/>
          <w:sz w:val="24"/>
          <w:szCs w:val="24"/>
        </w:rPr>
        <w:t xml:space="preserve">维修。自设备最终验收合格且签字确认之日起计算（以书面验收报告为准）。手术器械不维修，六个月内出现质量问题，乙方免费更换合同约定的全新、原装配套器械。</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2、质保期内，若设备出现故障，乙方接到甲方报修电话后响应：如果不能电话指导解决故障的，乙方应派技术人员于</w:t>
      </w:r>
      <w:r>
        <w:rPr>
          <w:rFonts w:hint="eastAsia" w:asciiTheme="minorEastAsia" w:hAnsiTheme="minorEastAsia" w:eastAsiaTheme="minorEastAsia"/>
          <w:bCs/>
          <w:color w:val="000000" w:themeColor="text1"/>
          <w:sz w:val="24"/>
          <w:szCs w:val="24"/>
          <w:u w:val="single"/>
        </w:rPr>
        <w:t xml:space="preserve"> 4 </w:t>
      </w:r>
      <w:r>
        <w:rPr>
          <w:rFonts w:hint="eastAsia" w:asciiTheme="minorEastAsia" w:hAnsiTheme="minorEastAsia" w:eastAsiaTheme="minorEastAsia"/>
          <w:bCs/>
          <w:color w:val="000000" w:themeColor="text1"/>
          <w:sz w:val="24"/>
          <w:szCs w:val="24"/>
        </w:rPr>
        <w:t xml:space="preserve">小时内赶到设备所在地维修；涉及零配件更换的，乙方应在</w:t>
      </w:r>
      <w:r>
        <w:rPr>
          <w:rFonts w:hint="eastAsia" w:asciiTheme="minorEastAsia" w:hAnsiTheme="minorEastAsia" w:eastAsiaTheme="minorEastAsia"/>
          <w:bCs/>
          <w:color w:val="000000" w:themeColor="text1"/>
          <w:sz w:val="24"/>
          <w:szCs w:val="24"/>
          <w:u w:val="single"/>
        </w:rPr>
        <w:t xml:space="preserve">48</w:t>
      </w:r>
      <w:r>
        <w:rPr>
          <w:rFonts w:hint="eastAsia" w:asciiTheme="minorEastAsia" w:hAnsiTheme="minorEastAsia" w:eastAsiaTheme="minorEastAsia"/>
          <w:bCs/>
          <w:color w:val="000000" w:themeColor="text1"/>
          <w:sz w:val="24"/>
          <w:szCs w:val="24"/>
        </w:rPr>
        <w:t xml:space="preserve">小时内修复完毕；不涉及零配件更换的，乙方应在</w:t>
      </w:r>
      <w:r>
        <w:rPr>
          <w:rFonts w:hint="eastAsia" w:asciiTheme="minorEastAsia" w:hAnsiTheme="minorEastAsia" w:eastAsiaTheme="minorEastAsia"/>
          <w:bCs/>
          <w:color w:val="000000" w:themeColor="text1"/>
          <w:sz w:val="24"/>
          <w:szCs w:val="24"/>
          <w:u w:val="single"/>
        </w:rPr>
        <w:t xml:space="preserve">24</w:t>
      </w:r>
      <w:r>
        <w:rPr>
          <w:rFonts w:hint="eastAsia" w:asciiTheme="minorEastAsia" w:hAnsiTheme="minorEastAsia" w:eastAsiaTheme="minorEastAsia"/>
          <w:bCs/>
          <w:color w:val="000000" w:themeColor="text1"/>
          <w:sz w:val="24"/>
          <w:szCs w:val="24"/>
        </w:rPr>
        <w:t xml:space="preserve">小时内修复完毕。质保期外，故障待修复后只收配件费，免收人工费；耗材价格、易损件费用按厂方报价的80扣收取。若厂方耗材、易损件价格下调，按下调后价格的80扣执行。</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在故障发生后</w:t>
      </w:r>
      <w:r>
        <w:rPr>
          <w:rFonts w:hint="eastAsia" w:asciiTheme="minorEastAsia" w:hAnsiTheme="minorEastAsia" w:eastAsiaTheme="minorEastAsia"/>
          <w:bCs/>
          <w:color w:val="000000" w:themeColor="text1"/>
          <w:sz w:val="24"/>
          <w:szCs w:val="24"/>
          <w:u w:val="single"/>
        </w:rPr>
        <w:t xml:space="preserve"> 48</w:t>
      </w:r>
      <w:r>
        <w:rPr>
          <w:rFonts w:hint="eastAsia" w:asciiTheme="minorEastAsia" w:hAnsiTheme="minorEastAsia" w:eastAsiaTheme="minorEastAsia"/>
          <w:bCs/>
          <w:color w:val="000000" w:themeColor="text1"/>
          <w:sz w:val="24"/>
          <w:szCs w:val="24"/>
        </w:rPr>
        <w:t xml:space="preserve">小时（含节假日、运输时间）仍不能修复，则免费提供备用机，否则甲方自行采取必要的措施，由此产生的风险和费用由乙方承担。如有特殊情况，乙方将立即电话通知甲方不能响应的原因， 在获得甲方同意后，才可推迟响应时间。</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乙方应派技术人员于每</w:t>
      </w:r>
      <w:r>
        <w:rPr>
          <w:rFonts w:hint="eastAsia" w:asciiTheme="minorEastAsia" w:hAnsiTheme="minorEastAsia" w:eastAsiaTheme="minorEastAsia"/>
          <w:bCs/>
          <w:color w:val="000000" w:themeColor="text1"/>
          <w:sz w:val="24"/>
          <w:szCs w:val="24"/>
          <w:u w:val="single"/>
        </w:rPr>
        <w:t xml:space="preserve">3</w:t>
      </w:r>
      <w:r>
        <w:rPr>
          <w:rFonts w:hint="eastAsia" w:asciiTheme="minorEastAsia" w:hAnsiTheme="minorEastAsia" w:eastAsiaTheme="minorEastAsia"/>
          <w:bCs/>
          <w:color w:val="000000" w:themeColor="text1"/>
          <w:sz w:val="24"/>
          <w:szCs w:val="24"/>
        </w:rPr>
        <w:t xml:space="preserve">个月一次进行设备使用的巡检，保修期</w:t>
      </w:r>
      <w:r>
        <w:rPr>
          <w:rFonts w:hint="eastAsia" w:cs="仿宋" w:asciiTheme="minorEastAsia" w:hAnsiTheme="minorEastAsia" w:eastAsiaTheme="minorEastAsia"/>
          <w:bCs/>
          <w:color w:val="000000" w:themeColor="text1"/>
          <w:sz w:val="24"/>
          <w:szCs w:val="24"/>
        </w:rPr>
        <w:t xml:space="preserve">第一年</w:t>
      </w:r>
      <w:r>
        <w:rPr>
          <w:rFonts w:hint="eastAsia" w:asciiTheme="minorEastAsia" w:hAnsiTheme="minorEastAsia" w:eastAsiaTheme="minorEastAsia"/>
          <w:bCs/>
          <w:color w:val="000000" w:themeColor="text1"/>
          <w:sz w:val="24"/>
          <w:szCs w:val="24"/>
        </w:rPr>
        <w:t xml:space="preserve">内共</w:t>
      </w:r>
      <w:r>
        <w:rPr>
          <w:rFonts w:hint="eastAsia" w:asciiTheme="minorEastAsia" w:hAnsiTheme="minorEastAsia" w:eastAsiaTheme="minorEastAsia"/>
          <w:bCs/>
          <w:color w:val="000000" w:themeColor="text1"/>
          <w:sz w:val="24"/>
          <w:szCs w:val="24"/>
          <w:u w:val="single"/>
        </w:rPr>
        <w:t xml:space="preserve">4</w:t>
      </w:r>
      <w:r>
        <w:rPr>
          <w:rFonts w:hint="eastAsia" w:asciiTheme="minorEastAsia" w:hAnsiTheme="minorEastAsia" w:eastAsiaTheme="minorEastAsia"/>
          <w:bCs/>
          <w:color w:val="000000" w:themeColor="text1"/>
          <w:sz w:val="24"/>
          <w:szCs w:val="24"/>
        </w:rPr>
        <w:t xml:space="preserve">次（以经甲方确认的《泰州市姜堰中医院医学装备巡检报告》为准，并作为尾款的支付依据）。</w:t>
      </w:r>
      <w:r>
        <w:rPr>
          <w:rFonts w:hint="eastAsia" w:cs="仿宋" w:asciiTheme="minorEastAsia" w:hAnsiTheme="minorEastAsia" w:eastAsiaTheme="minorEastAsia"/>
          <w:bCs/>
          <w:color w:val="000000" w:themeColor="text1"/>
          <w:sz w:val="24"/>
          <w:szCs w:val="24"/>
        </w:rPr>
        <w:t xml:space="preserve">保修期第二年起，至少每6个月进行一次设备使用的巡检。</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3、如设备在质保期内，第一年维修次数超过</w:t>
      </w:r>
      <w:r>
        <w:rPr>
          <w:rFonts w:hint="eastAsia" w:asciiTheme="minorEastAsia" w:hAnsiTheme="minorEastAsia" w:eastAsiaTheme="minorEastAsia"/>
          <w:bCs/>
          <w:color w:val="000000" w:themeColor="text1"/>
          <w:sz w:val="24"/>
          <w:szCs w:val="24"/>
          <w:u w:val="single"/>
        </w:rPr>
        <w:t xml:space="preserve">3</w:t>
      </w:r>
      <w:r>
        <w:rPr>
          <w:rFonts w:hint="eastAsia" w:asciiTheme="minorEastAsia" w:hAnsiTheme="minorEastAsia" w:eastAsiaTheme="minorEastAsia"/>
          <w:bCs/>
          <w:color w:val="000000" w:themeColor="text1"/>
          <w:sz w:val="24"/>
          <w:szCs w:val="24"/>
        </w:rPr>
        <w:t xml:space="preserve">次（含），甲方有权要求乙方无条件免费更换合同约定的全新、原装的设备。乙方不得推诿拒绝。</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质保期满后，乙方应继续提供技术支持和维修服务。如乙方提供设备有维修密码，乙方保证无条件地为甲方永久免费打开。</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4、乙方免费提供全套技术资料（维修说明书包括详细电路图、操作说明书及光盘），如技术资料不全，甲方有权不支付货款。</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十一、设备软件升级特别约定</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按照医院要求必须开放设备所有软件，</w:t>
      </w:r>
      <w:r>
        <w:rPr>
          <w:rFonts w:hint="eastAsia" w:cs="楷体_GB2312" w:asciiTheme="minorEastAsia" w:hAnsiTheme="minorEastAsia" w:eastAsiaTheme="minorEastAsia"/>
          <w:bCs/>
          <w:color w:val="000000" w:themeColor="text1"/>
          <w:sz w:val="24"/>
          <w:szCs w:val="24"/>
        </w:rPr>
        <w:t xml:space="preserve">无论是否在质保期，当设备软件有升级版本时，乙方承诺及时为甲方提供免费升级服务。</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十二、付款及结算方式</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1、付款方式：货到安装调试最终验收合格后，且乙方提供全额有效发票，甲方支付</w:t>
      </w:r>
      <w:r>
        <w:rPr>
          <w:rFonts w:hint="eastAsia" w:asciiTheme="minorEastAsia" w:hAnsiTheme="minorEastAsia" w:eastAsiaTheme="minorEastAsia"/>
          <w:bCs/>
          <w:color w:val="000000" w:themeColor="text1"/>
          <w:spacing w:val="10"/>
          <w:sz w:val="24"/>
          <w:szCs w:val="24"/>
        </w:rPr>
        <w:t xml:space="preserve">总额的</w:t>
      </w:r>
      <w:r>
        <w:rPr>
          <w:rFonts w:hint="eastAsia" w:asciiTheme="minorEastAsia" w:hAnsiTheme="minorEastAsia" w:eastAsiaTheme="minorEastAsia"/>
          <w:bCs/>
          <w:color w:val="000000" w:themeColor="text1"/>
          <w:spacing w:val="10"/>
          <w:sz w:val="24"/>
          <w:szCs w:val="24"/>
          <w:u w:val="single"/>
        </w:rPr>
        <w:t xml:space="preserve">90</w:t>
      </w:r>
      <w:r>
        <w:rPr>
          <w:rFonts w:hint="eastAsia" w:asciiTheme="minorEastAsia" w:hAnsiTheme="minorEastAsia" w:eastAsiaTheme="minorEastAsia"/>
          <w:bCs/>
          <w:color w:val="000000" w:themeColor="text1"/>
          <w:spacing w:val="10"/>
          <w:sz w:val="24"/>
          <w:szCs w:val="24"/>
        </w:rPr>
        <w:t xml:space="preserve">%，即人民币</w:t>
      </w:r>
      <w:r>
        <w:rPr>
          <w:rFonts w:hint="eastAsia" w:asciiTheme="minorEastAsia" w:hAnsiTheme="minorEastAsia" w:eastAsiaTheme="minorEastAsia"/>
          <w:bCs/>
          <w:color w:val="000000" w:themeColor="text1"/>
          <w:sz w:val="24"/>
          <w:szCs w:val="24"/>
        </w:rPr>
        <w:t xml:space="preserve">（大写）：</w:t>
      </w:r>
      <w:r>
        <w:rPr>
          <w:rFonts w:hint="eastAsia" w:asciiTheme="minorEastAsia" w:hAnsiTheme="minorEastAsia" w:eastAsiaTheme="minorEastAsia"/>
          <w:bCs/>
          <w:color w:val="000000" w:themeColor="text1"/>
          <w:sz w:val="24"/>
          <w:szCs w:val="24"/>
          <w:u w:val="single"/>
        </w:rPr>
        <w:t xml:space="preserve">         （小写¥      ） </w:t>
      </w:r>
      <w:r>
        <w:rPr>
          <w:rFonts w:hint="eastAsia" w:asciiTheme="minorEastAsia" w:hAnsiTheme="minorEastAsia" w:eastAsiaTheme="minorEastAsia"/>
          <w:bCs/>
          <w:color w:val="000000" w:themeColor="text1"/>
          <w:sz w:val="24"/>
          <w:szCs w:val="24"/>
        </w:rPr>
        <w:t xml:space="preserve">元整；自最终验收合格之日起1年后，经甲方确认设备无质量问题且乙方按合同约定提供巡检服务后，甲方支付剩余的</w:t>
      </w:r>
      <w:r>
        <w:rPr>
          <w:rFonts w:hint="eastAsia" w:asciiTheme="minorEastAsia" w:hAnsiTheme="minorEastAsia" w:eastAsiaTheme="minorEastAsia"/>
          <w:bCs/>
          <w:color w:val="000000" w:themeColor="text1"/>
          <w:sz w:val="24"/>
          <w:szCs w:val="24"/>
          <w:u w:val="single"/>
        </w:rPr>
        <w:t xml:space="preserve">10</w:t>
      </w:r>
      <w:r>
        <w:rPr>
          <w:rFonts w:hint="eastAsia" w:asciiTheme="minorEastAsia" w:hAnsiTheme="minorEastAsia" w:eastAsiaTheme="minorEastAsia"/>
          <w:bCs/>
          <w:color w:val="000000" w:themeColor="text1"/>
          <w:sz w:val="24"/>
          <w:szCs w:val="24"/>
        </w:rPr>
        <w:t xml:space="preserve">%，即人民币（大写）：</w:t>
      </w:r>
      <w:r>
        <w:rPr>
          <w:rFonts w:hint="eastAsia" w:asciiTheme="minorEastAsia" w:hAnsiTheme="minorEastAsia" w:eastAsiaTheme="minorEastAsia"/>
          <w:bCs/>
          <w:color w:val="000000" w:themeColor="text1"/>
          <w:sz w:val="24"/>
          <w:szCs w:val="24"/>
          <w:u w:val="single"/>
        </w:rPr>
        <w:t xml:space="preserve">         （小写¥      ）   </w:t>
      </w:r>
      <w:r>
        <w:rPr>
          <w:rFonts w:hint="eastAsia" w:asciiTheme="minorEastAsia" w:hAnsiTheme="minorEastAsia" w:eastAsiaTheme="minorEastAsia"/>
          <w:bCs/>
          <w:color w:val="000000" w:themeColor="text1"/>
          <w:sz w:val="24"/>
          <w:szCs w:val="24"/>
        </w:rPr>
        <w:t xml:space="preserve">元整。</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2、结算方式：甲方应通过银行转账，将货款直接汇入乙方的开户行。开户行信息由乙方提供，若合同执行期间，乙方变更该账户信息，应当及时书面通知甲方，否</w:t>
      </w:r>
      <w:r>
        <w:rPr>
          <w:rFonts w:hint="eastAsia" w:asciiTheme="minorEastAsia" w:hAnsiTheme="minorEastAsia" w:eastAsiaTheme="minorEastAsia"/>
          <w:bCs/>
          <w:color w:val="000000" w:themeColor="text1"/>
          <w:sz w:val="24"/>
          <w:szCs w:val="24"/>
        </w:rPr>
        <w:t xml:space="preserve">则造成的损失甲方不承担责任。</w:t>
      </w:r>
      <w:r/>
    </w:p>
    <w:p>
      <w:pPr>
        <w:ind w:firstLine="480"/>
        <w:jc w:val="left"/>
        <w:spacing w:line="360" w:lineRule="auto"/>
        <w:rPr>
          <w:rFonts w:hint="eastAsia" w:asciiTheme="minorEastAsia" w:hAnsiTheme="minorEastAsia" w:eastAsiaTheme="minorEastAsia"/>
          <w:b/>
          <w:bCs/>
          <w:color w:val="000000" w:themeColor="text1"/>
          <w:sz w:val="24"/>
          <w:szCs w:val="24"/>
          <w:u w:val="single"/>
        </w:rPr>
      </w:pPr>
      <w:r>
        <w:rPr>
          <w:rFonts w:hint="eastAsia" w:asciiTheme="minorEastAsia" w:hAnsiTheme="minorEastAsia" w:eastAsiaTheme="minorEastAsia"/>
          <w:bCs/>
          <w:color w:val="000000" w:themeColor="text1"/>
          <w:sz w:val="24"/>
          <w:szCs w:val="24"/>
        </w:rPr>
        <w:t xml:space="preserve">乙方账户信息：名称</w:t>
      </w:r>
      <w:r>
        <w:rPr>
          <w:rFonts w:hint="eastAsia" w:asciiTheme="minorEastAsia" w:hAnsiTheme="minorEastAsia" w:eastAsiaTheme="minorEastAsia"/>
          <w:bCs/>
          <w:color w:val="000000" w:themeColor="text1"/>
          <w:sz w:val="24"/>
          <w:szCs w:val="24"/>
          <w:u w:val="single"/>
        </w:rPr>
        <w:t xml:space="preserve">                                       </w:t>
      </w:r>
      <w:r/>
    </w:p>
    <w:p>
      <w:pPr>
        <w:ind w:firstLine="480"/>
        <w:jc w:val="left"/>
        <w:spacing w:line="360" w:lineRule="auto"/>
        <w:rPr>
          <w:rFonts w:hint="eastAsia" w:asciiTheme="minorEastAsia" w:hAnsiTheme="minorEastAsia" w:eastAsiaTheme="minorEastAsia"/>
          <w:b/>
          <w:bCs/>
          <w:color w:val="000000" w:themeColor="text1"/>
          <w:sz w:val="24"/>
          <w:szCs w:val="24"/>
          <w:u w:val="single"/>
        </w:rPr>
      </w:pPr>
      <w:r>
        <w:rPr>
          <w:rFonts w:hint="eastAsia" w:asciiTheme="minorEastAsia" w:hAnsiTheme="minorEastAsia" w:eastAsiaTheme="minorEastAsia"/>
          <w:bCs/>
          <w:color w:val="000000" w:themeColor="text1"/>
          <w:sz w:val="24"/>
          <w:szCs w:val="24"/>
          <w:u w:val="single"/>
        </w:rPr>
        <w:t xml:space="preserve">开户行：                                   账号：                                   </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十三、违约责任</w:t>
      </w:r>
      <w:r/>
    </w:p>
    <w:p>
      <w:pPr>
        <w:ind w:firstLine="480"/>
        <w:jc w:val="left"/>
        <w:spacing w:line="360" w:lineRule="auto"/>
        <w:tabs>
          <w:tab w:val="left" w:pos="0" w:leader="none"/>
          <w:tab w:val="left" w:pos="540" w:leader="none"/>
        </w:tabs>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1、合同生效后，若乙方无法供货，甲方有权要求乙方支付该货款总值的5%违约金，</w:t>
      </w:r>
      <w:r>
        <w:rPr>
          <w:rFonts w:hint="eastAsia" w:cs="宋体" w:asciiTheme="minorEastAsia" w:hAnsiTheme="minorEastAsia" w:eastAsiaTheme="minorEastAsia"/>
          <w:bCs/>
          <w:color w:val="000000" w:themeColor="text1"/>
          <w:sz w:val="24"/>
          <w:szCs w:val="24"/>
        </w:rPr>
        <w:t xml:space="preserve">并</w:t>
      </w:r>
      <w:r>
        <w:rPr>
          <w:rFonts w:hint="eastAsia" w:asciiTheme="minorEastAsia" w:hAnsiTheme="minorEastAsia" w:eastAsiaTheme="minorEastAsia"/>
          <w:bCs/>
          <w:color w:val="000000" w:themeColor="text1"/>
          <w:sz w:val="24"/>
          <w:szCs w:val="24"/>
        </w:rPr>
        <w:t xml:space="preserve">且将乙方直接列入甲方供应商黑名单，三年内不得参与甲方组织的采购活动。</w:t>
      </w:r>
      <w:r/>
    </w:p>
    <w:p>
      <w:pPr>
        <w:ind w:firstLine="480"/>
        <w:jc w:val="left"/>
        <w:spacing w:line="360" w:lineRule="auto"/>
        <w:tabs>
          <w:tab w:val="left" w:pos="0" w:leader="none"/>
          <w:tab w:val="left" w:pos="540" w:leader="none"/>
        </w:tabs>
        <w:rPr>
          <w:rFonts w:hint="eastAsia" w:cs="楷体_GB2312"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rPr>
          <w:rFonts w:hint="eastAsia" w:cs="楷体_GB2312" w:asciiTheme="minorEastAsia" w:hAnsiTheme="minorEastAsia" w:eastAsiaTheme="minorEastAsia"/>
          <w:bCs/>
          <w:color w:val="000000" w:themeColor="text1"/>
          <w:sz w:val="24"/>
          <w:szCs w:val="24"/>
        </w:rPr>
        <w:t xml:space="preserve">如乙方所供设备不符合本合同第四条、第六条、第七条的要求，甲方有权要求乙方按照第四条约定的期限无条件更换或补齐。</w:t>
      </w:r>
      <w:r>
        <w:rPr>
          <w:rFonts w:hint="eastAsia" w:asciiTheme="minorEastAsia" w:hAnsiTheme="minorEastAsia" w:eastAsiaTheme="minorEastAsia"/>
          <w:bCs/>
          <w:color w:val="000000" w:themeColor="text1"/>
          <w:sz w:val="24"/>
          <w:szCs w:val="24"/>
        </w:rPr>
        <w:t xml:space="preserve">每逾期交付一天扣合同总价的5‰作为违约金支付给甲方。若逾期超过</w:t>
      </w:r>
      <w:r>
        <w:rPr>
          <w:rFonts w:hint="eastAsia" w:asciiTheme="minorEastAsia" w:hAnsiTheme="minorEastAsia" w:eastAsiaTheme="minorEastAsia"/>
          <w:bCs/>
          <w:color w:val="000000" w:themeColor="text1"/>
          <w:sz w:val="24"/>
          <w:szCs w:val="24"/>
          <w:u w:val="single"/>
        </w:rPr>
        <w:t xml:space="preserve">10个</w:t>
      </w:r>
      <w:r>
        <w:rPr>
          <w:rFonts w:hint="eastAsia" w:asciiTheme="minorEastAsia" w:hAnsiTheme="minorEastAsia" w:eastAsiaTheme="minorEastAsia"/>
          <w:bCs/>
          <w:color w:val="000000" w:themeColor="text1"/>
          <w:sz w:val="24"/>
          <w:szCs w:val="24"/>
        </w:rPr>
        <w:t xml:space="preserve">日历日，甲方有权解除合同，并要求乙方支付违约金，违约金总额不超过合同总价。</w:t>
      </w:r>
      <w:r/>
    </w:p>
    <w:p>
      <w:pPr>
        <w:ind w:firstLine="480"/>
        <w:jc w:val="left"/>
        <w:spacing w:line="360" w:lineRule="auto"/>
        <w:tabs>
          <w:tab w:val="left" w:pos="0" w:leader="none"/>
          <w:tab w:val="left" w:pos="540" w:leader="none"/>
        </w:tabs>
        <w:rPr>
          <w:rFonts w:hint="eastAsia"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如甲方已支付货款的，乙方应当全额退还已支付的货款及按照银行同期贷款利率支付利息。</w:t>
      </w:r>
      <w:r/>
    </w:p>
    <w:p>
      <w:pPr>
        <w:ind w:firstLine="480"/>
        <w:jc w:val="left"/>
        <w:spacing w:line="360" w:lineRule="auto"/>
        <w:tabs>
          <w:tab w:val="left" w:pos="0" w:leader="none"/>
          <w:tab w:val="left" w:pos="540" w:leader="none"/>
        </w:tabs>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若乙方出现逾期交货或交货不符合合同约定等违约情形，甲方有权拒绝付款，并且不因此承担违约责任。</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3、如乙方在履约过程中违反合同第十条约定的维修义务，每停机延误1天，则质保期相应顺延5天。</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如违反合同第十条约定的巡检义务，每少巡检一次，甲方有权扣除尾款的</w:t>
      </w:r>
      <w:r>
        <w:rPr>
          <w:rFonts w:hint="eastAsia" w:asciiTheme="minorEastAsia" w:hAnsiTheme="minorEastAsia" w:eastAsiaTheme="minorEastAsia"/>
          <w:bCs/>
          <w:color w:val="000000" w:themeColor="text1"/>
          <w:sz w:val="24"/>
          <w:szCs w:val="24"/>
          <w:u w:val="single"/>
        </w:rPr>
        <w:t xml:space="preserve">25</w:t>
      </w:r>
      <w:r>
        <w:rPr>
          <w:rFonts w:hint="eastAsia" w:asciiTheme="minorEastAsia" w:hAnsiTheme="minorEastAsia" w:eastAsiaTheme="minorEastAsia"/>
          <w:bCs/>
          <w:color w:val="000000" w:themeColor="text1"/>
          <w:sz w:val="24"/>
          <w:szCs w:val="24"/>
        </w:rPr>
        <w:t xml:space="preserve">%作为违约金，如因此给甲方造成损失的，甲方有权要求乙方赔偿相应损失。</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20%向甲方支付违约金并赔偿因此给甲方造成的一切损失。</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5、若因乙方无所有权或销售资质，甲方有权解除合同，乙方应在甲方发出解除通知后3日内返还甲方已支付的全部费用，并应向甲方承担损失赔偿责任。</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6、乙方应保证所提供的设备完全符合中标文件要求。否则，甲方有权解除合同，并承担甲方因此遭受的损失（包括行政处罚等）。</w:t>
      </w:r>
      <w:r/>
    </w:p>
    <w:p>
      <w:pPr>
        <w:ind w:firstLine="480"/>
        <w:jc w:val="left"/>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7、乙方因上述违约行为支付的违约金不足以弥补甲方损失的，还应按甲方实际经济损失足额弥补。</w:t>
      </w:r>
      <w:r/>
    </w:p>
    <w:p>
      <w:pPr>
        <w:ind w:firstLine="480"/>
        <w:jc w:val="left"/>
        <w:spacing w:line="360" w:lineRule="auto"/>
        <w:rPr>
          <w:rFonts w:hint="eastAsia"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8、乙方违反本合同其他约定，乙方应承担损失赔偿责任。</w:t>
      </w:r>
      <w:r/>
    </w:p>
    <w:p>
      <w:pPr>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    9、甲方有权在应支付给乙方的款项中，优先扣除乙方按照本合同应支付的违约金及损失赔偿费用。</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十四、争议解决</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因履行本协议导致的纠纷由双方本着诚信、友好之原则积极协商，如协商无果，双方均可向甲方所在地人民法院提起诉讼。</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十五、生效</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本协议一式肆份，甲方贰份，乙方壹份，见证方壹份。经双方法定代表人或授权委托代理人签字和单位盖章之日生效。双方签字盖章日期不一致的，以日期在后者为生效时间。</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十六、附件</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《设备配置清单》、《泰州市姜堰中医院医学装备巡检报告》、《泰州市姜堰中医院设备购销廉政合同》及《致供应商告知函》作为本合同附件，与合同条款具备相同法律效力。</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十七、合同及附件中中英文对照词汇，以中文内容为准。</w:t>
      </w:r>
      <w:r/>
    </w:p>
    <w:p>
      <w:pPr>
        <w:ind w:firstLine="480"/>
        <w:jc w:val="left"/>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十八、与招标文件、竞争性报价文件发生冲突的相关条款，以本合同为准。</w:t>
      </w:r>
      <w:r/>
    </w:p>
    <w:p>
      <w:pPr>
        <w:ind w:firstLine="470"/>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十九、其他（如有请填写，若无请填写“无”）：无</w:t>
      </w:r>
      <w:r/>
    </w:p>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合同签署地点：姜堰</w:t>
      </w:r>
      <w:r/>
    </w:p>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甲      方：（盖章）       乙      方：（盖章）           见证方：（盖章）</w:t>
      </w:r>
      <w:r/>
    </w:p>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泰州市姜堰中医院</w:t>
      </w:r>
      <w:r/>
    </w:p>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法定代表人：                法定代表人                    法定代表人：</w:t>
      </w:r>
      <w:r/>
    </w:p>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甲方代表：                  乙方代表：                    授权代表：</w:t>
      </w:r>
      <w:r/>
    </w:p>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日    期：                  日    期：                    日    期：</w:t>
      </w:r>
      <w:r/>
    </w:p>
    <w:p>
      <w:pPr>
        <w:spacing w:line="360" w:lineRule="auto"/>
        <w:rPr>
          <w:rFonts w:hint="eastAsia" w:asciiTheme="minorEastAsia" w:hAnsiTheme="minorEastAsia" w:eastAsiaTheme="minorEastAsia"/>
          <w:b/>
          <w:bCs/>
          <w:color w:val="000000" w:themeColor="text1"/>
          <w:sz w:val="24"/>
          <w:szCs w:val="24"/>
        </w:rPr>
      </w:pPr>
      <w:r>
        <w:rPr>
          <w:rFonts w:asciiTheme="minorEastAsia" w:hAnsiTheme="minorEastAsia" w:eastAsiaTheme="minorEastAsia"/>
          <w:bCs/>
          <w:color w:val="000000" w:themeColor="text1"/>
          <w:sz w:val="24"/>
          <w:szCs w:val="24"/>
        </w:rPr>
        <w:br w:type="page" w:clear="all"/>
      </w:r>
      <w:r/>
    </w:p>
    <w:p>
      <w:pPr>
        <w:jc w:val="center"/>
        <w:spacing w:line="360" w:lineRule="auto"/>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设备配置清单（单台）</w:t>
      </w:r>
      <w:r/>
    </w:p>
    <w:p>
      <w:pPr>
        <w:spacing w:line="360" w:lineRule="auto"/>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7"/>
        <w:gridCol w:w="2188"/>
        <w:gridCol w:w="1244"/>
        <w:gridCol w:w="1224"/>
        <w:gridCol w:w="1769"/>
        <w:gridCol w:w="951"/>
        <w:gridCol w:w="984"/>
      </w:tblGrid>
      <w:tr>
        <w:trPr>
          <w:trHeight w:val="615"/>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序</w:t>
            </w:r>
            <w:r/>
          </w:p>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号</w:t>
            </w:r>
            <w:r/>
          </w:p>
        </w:tc>
        <w:tc>
          <w:tcPr>
            <w:tcW w:w="1196"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配置部件名称</w:t>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品</w:t>
            </w:r>
            <w:r/>
          </w:p>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牌</w:t>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规</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格</w:t>
            </w:r>
            <w:r/>
          </w:p>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型</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号</w:t>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生</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产</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厂</w:t>
            </w:r>
            <w:r/>
          </w:p>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及</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产</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地</w:t>
            </w:r>
            <w:r/>
          </w:p>
        </w:tc>
        <w:tc>
          <w:tcPr>
            <w:tcW w:w="52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数</w:t>
            </w:r>
            <w:r/>
          </w:p>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量</w:t>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备</w:t>
            </w:r>
            <w:r/>
          </w:p>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注</w:t>
            </w:r>
            <w:r/>
          </w:p>
        </w:tc>
      </w:tr>
      <w:tr>
        <w:trPr>
          <w:trHeight w:val="661"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65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5</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57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6</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7</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59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8</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9</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10</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r>
        <w:trPr>
          <w:trHeight w:val="9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11</w:t>
            </w:r>
            <w:r/>
          </w:p>
        </w:tc>
        <w:tc>
          <w:tcPr>
            <w:tcW w:w="1196"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967"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c>
          <w:tcPr>
            <w:tcW w:w="520"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bl>
    <w:p>
      <w:pPr>
        <w:spacing w:line="360" w:lineRule="auto"/>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注：表格不够请自行添加！</w:t>
      </w:r>
      <w:r/>
    </w:p>
    <w:p>
      <w:pPr>
        <w:rPr>
          <w:rFonts w:hint="eastAsia" w:ascii="宋体" w:hAnsi="宋体" w:eastAsia="宋体" w:cs="仿宋"/>
          <w:sz w:val="21"/>
          <w:szCs w:val="21"/>
        </w:rPr>
      </w:pPr>
      <w:r>
        <w:rPr>
          <w:rFonts w:hint="eastAsia" w:ascii="宋体" w:hAnsi="宋体" w:eastAsia="宋体" w:cs="仿宋"/>
          <w:sz w:val="21"/>
          <w:szCs w:val="21"/>
        </w:rPr>
      </w:r>
      <w:r/>
    </w:p>
    <w:p>
      <w:pPr>
        <w:pStyle w:val="813"/>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13"/>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5" w:name="_Hlt26955039"/>
      <w:r/>
      <w:bookmarkStart w:id="46" w:name="_Hlt26671244"/>
      <w:r/>
      <w:bookmarkStart w:id="47" w:name="_Toc49090576"/>
      <w:r/>
      <w:bookmarkStart w:id="48" w:name="_Toc120614282"/>
      <w:r/>
      <w:bookmarkStart w:id="49" w:name="_Toc26554094"/>
      <w:r/>
      <w:bookmarkEnd w:id="45"/>
      <w:r/>
      <w:bookmarkEnd w:id="46"/>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88"/>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0" w:name="_Toc23838"/>
      <w:r/>
      <w:bookmarkEnd w:id="50"/>
      <w:r/>
    </w:p>
    <w:p>
      <w:pPr>
        <w:rPr>
          <w:rFonts w:hint="eastAsia" w:ascii="宋体" w:hAnsi="宋体" w:eastAsia="宋体"/>
          <w:b/>
          <w:sz w:val="32"/>
          <w:szCs w:val="32"/>
        </w:rPr>
      </w:pPr>
      <w:r>
        <w:rPr>
          <w:rFonts w:hint="eastAsia" w:ascii="宋体" w:hAnsi="宋体" w:eastAsia="宋体"/>
          <w:b/>
          <w:sz w:val="32"/>
          <w:szCs w:val="32"/>
        </w:rPr>
        <w:t xml:space="preserve">一、</w:t>
      </w:r>
      <w:bookmarkStart w:id="51" w:name="_Toc120614284"/>
      <w:r/>
      <w:bookmarkEnd w:id="47"/>
      <w:r/>
      <w:bookmarkEnd w:id="48"/>
      <w:r/>
      <w:bookmarkEnd w:id="49"/>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2" w:name="_Hlt26955070"/>
      <w:r/>
      <w:bookmarkStart w:id="53" w:name="_格式3__银行出具的资信证明"/>
      <w:r/>
      <w:bookmarkStart w:id="54" w:name="_Hlt26671380"/>
      <w:r/>
      <w:bookmarkEnd w:id="52"/>
      <w:r/>
      <w:bookmarkEnd w:id="53"/>
      <w:r/>
      <w:bookmarkEnd w:id="54"/>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788"/>
      </w:pPr>
      <w:r/>
      <w:r/>
    </w:p>
    <w:p>
      <w:pPr>
        <w:pStyle w:val="788"/>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05"/>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04"/>
        <w:jc w:val="center"/>
        <w:rPr>
          <w:rFonts w:hint="eastAsia" w:ascii="宋体" w:hAnsi="宋体"/>
          <w:b/>
          <w:sz w:val="36"/>
          <w:szCs w:val="36"/>
        </w:rPr>
      </w:pPr>
      <w:r>
        <w:rPr>
          <w:rFonts w:hint="eastAsia" w:ascii="宋体" w:hAnsi="宋体"/>
          <w:b/>
          <w:sz w:val="36"/>
          <w:szCs w:val="36"/>
        </w:rPr>
        <w:t xml:space="preserve">中小企业声明函（货物）</w:t>
      </w:r>
      <w:r/>
    </w:p>
    <w:p>
      <w:pPr>
        <w:pStyle w:val="1004"/>
        <w:jc w:val="left"/>
        <w:rPr>
          <w:rFonts w:hint="eastAsia" w:ascii="宋体" w:hAnsi="宋体"/>
          <w:b/>
          <w:sz w:val="32"/>
          <w:szCs w:val="32"/>
        </w:rPr>
      </w:pPr>
      <w:r>
        <w:rPr>
          <w:rFonts w:hint="eastAsia" w:ascii="宋体" w:hAnsi="宋体"/>
          <w:b/>
          <w:sz w:val="32"/>
          <w:szCs w:val="32"/>
        </w:rPr>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04"/>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04"/>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04"/>
        <w:ind w:firstLine="480"/>
        <w:jc w:val="left"/>
        <w:spacing w:line="500" w:lineRule="exact"/>
        <w:rPr>
          <w:rFonts w:hint="eastAsia" w:ascii="宋体" w:hAnsi="宋体"/>
          <w:sz w:val="24"/>
          <w:szCs w:val="24"/>
        </w:rPr>
      </w:pPr>
      <w:r>
        <w:rPr>
          <w:rFonts w:ascii="宋体" w:hAnsi="宋体"/>
          <w:sz w:val="24"/>
          <w:szCs w:val="24"/>
        </w:rPr>
        <w:t xml:space="preserve">……</w:t>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4"/>
        <w:ind w:firstLine="480"/>
        <w:jc w:val="center"/>
        <w:spacing w:line="500" w:lineRule="exact"/>
        <w:rPr>
          <w:rFonts w:hint="eastAsia" w:ascii="宋体" w:hAnsi="宋体"/>
          <w:sz w:val="24"/>
          <w:szCs w:val="24"/>
        </w:rPr>
      </w:pPr>
      <w:r>
        <w:rPr>
          <w:rFonts w:hint="eastAsia" w:ascii="宋体" w:hAnsi="宋体"/>
          <w:sz w:val="24"/>
          <w:szCs w:val="24"/>
        </w:rPr>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04"/>
        <w:ind w:firstLine="560"/>
        <w:spacing w:line="560" w:lineRule="exact"/>
        <w:rPr>
          <w:rFonts w:hint="eastAsia" w:ascii="宋体" w:hAnsi="宋体"/>
          <w:sz w:val="28"/>
          <w:szCs w:val="28"/>
        </w:rPr>
      </w:pPr>
      <w:r>
        <w:rPr>
          <w:rFonts w:hint="eastAsia" w:ascii="宋体" w:hAnsi="宋体"/>
          <w:sz w:val="28"/>
          <w:szCs w:val="28"/>
        </w:rPr>
      </w:r>
      <w:r/>
    </w:p>
    <w:p>
      <w:pPr>
        <w:pStyle w:val="1004"/>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04"/>
        <w:jc w:val="center"/>
        <w:rPr>
          <w:rFonts w:hint="eastAsia" w:ascii="宋体" w:hAnsi="宋体"/>
          <w:b/>
          <w:sz w:val="36"/>
          <w:szCs w:val="36"/>
        </w:rPr>
      </w:pPr>
      <w:r>
        <w:rPr>
          <w:rFonts w:hint="eastAsia" w:ascii="宋体" w:hAnsi="宋体"/>
          <w:b/>
          <w:sz w:val="36"/>
          <w:szCs w:val="36"/>
        </w:rPr>
      </w:r>
      <w:r/>
    </w:p>
    <w:p>
      <w:pPr>
        <w:pStyle w:val="1004"/>
        <w:rPr>
          <w:rFonts w:hint="eastAsia" w:ascii="宋体" w:hAnsi="宋体"/>
          <w:b/>
          <w:sz w:val="36"/>
          <w:szCs w:val="36"/>
        </w:rPr>
      </w:pPr>
      <w:r>
        <w:rPr>
          <w:rFonts w:hint="eastAsia" w:ascii="宋体" w:hAnsi="宋体"/>
          <w:b/>
          <w:sz w:val="36"/>
          <w:szCs w:val="36"/>
        </w:rPr>
      </w:r>
      <w:r/>
    </w:p>
    <w:p>
      <w:pPr>
        <w:pStyle w:val="1004"/>
        <w:rPr>
          <w:rFonts w:hint="eastAsia" w:ascii="宋体" w:hAnsi="宋体"/>
          <w:b/>
          <w:sz w:val="36"/>
          <w:szCs w:val="36"/>
        </w:rPr>
      </w:pPr>
      <w:r>
        <w:rPr>
          <w:rFonts w:hint="eastAsia" w:ascii="宋体" w:hAnsi="宋体"/>
          <w:b/>
          <w:sz w:val="36"/>
          <w:szCs w:val="36"/>
        </w:rPr>
      </w:r>
      <w:r/>
    </w:p>
    <w:p>
      <w:pPr>
        <w:pStyle w:val="1004"/>
        <w:jc w:val="center"/>
        <w:rPr>
          <w:rFonts w:hint="eastAsia" w:ascii="宋体" w:hAnsi="宋体"/>
          <w:b/>
          <w:sz w:val="36"/>
          <w:szCs w:val="36"/>
        </w:rPr>
      </w:pPr>
      <w:r>
        <w:rPr>
          <w:rFonts w:hint="eastAsia" w:ascii="宋体" w:hAnsi="宋体"/>
          <w:b/>
          <w:sz w:val="36"/>
          <w:szCs w:val="36"/>
        </w:rPr>
        <w:t xml:space="preserve">中小企业声明函（工程、服务）</w:t>
      </w:r>
      <w:r/>
    </w:p>
    <w:p>
      <w:pPr>
        <w:pStyle w:val="1004"/>
        <w:jc w:val="left"/>
        <w:rPr>
          <w:rFonts w:hint="eastAsia" w:ascii="宋体" w:hAnsi="宋体"/>
          <w:b/>
          <w:sz w:val="32"/>
          <w:szCs w:val="32"/>
        </w:rPr>
      </w:pPr>
      <w:r>
        <w:rPr>
          <w:rFonts w:hint="eastAsia" w:ascii="宋体" w:hAnsi="宋体"/>
          <w:b/>
          <w:sz w:val="32"/>
          <w:szCs w:val="32"/>
        </w:rPr>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04"/>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04"/>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04"/>
        <w:ind w:firstLine="480"/>
        <w:jc w:val="left"/>
        <w:spacing w:line="500" w:lineRule="exact"/>
        <w:rPr>
          <w:rFonts w:hint="eastAsia" w:ascii="宋体" w:hAnsi="宋体"/>
          <w:sz w:val="24"/>
          <w:szCs w:val="24"/>
        </w:rPr>
      </w:pPr>
      <w:r>
        <w:rPr>
          <w:rFonts w:ascii="宋体" w:hAnsi="宋体"/>
          <w:sz w:val="24"/>
          <w:szCs w:val="24"/>
        </w:rPr>
        <w:t xml:space="preserve">……</w:t>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4"/>
        <w:ind w:firstLine="480"/>
        <w:jc w:val="center"/>
        <w:spacing w:line="500" w:lineRule="exact"/>
        <w:rPr>
          <w:rFonts w:hint="eastAsia" w:ascii="宋体" w:hAnsi="宋体"/>
          <w:sz w:val="24"/>
          <w:szCs w:val="24"/>
        </w:rPr>
      </w:pPr>
      <w:r>
        <w:rPr>
          <w:rFonts w:hint="eastAsia" w:ascii="宋体" w:hAnsi="宋体"/>
          <w:sz w:val="24"/>
          <w:szCs w:val="24"/>
        </w:rPr>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04"/>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04"/>
        <w:ind w:firstLine="480"/>
        <w:spacing w:line="500" w:lineRule="exact"/>
        <w:rPr>
          <w:rFonts w:hint="eastAsia" w:ascii="宋体" w:hAnsi="宋体"/>
          <w:sz w:val="24"/>
          <w:szCs w:val="24"/>
        </w:rPr>
      </w:pPr>
      <w:r>
        <w:rPr>
          <w:rFonts w:hint="eastAsia" w:ascii="宋体" w:hAnsi="宋体"/>
          <w:sz w:val="24"/>
          <w:szCs w:val="24"/>
        </w:rPr>
      </w:r>
      <w:r/>
    </w:p>
    <w:p>
      <w:pPr>
        <w:pStyle w:val="1004"/>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04"/>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1004"/>
        <w:spacing w:before="151" w:after="151" w:line="600" w:lineRule="exact"/>
        <w:rPr>
          <w:rFonts w:hint="eastAsia" w:ascii="宋体" w:hAnsi="宋体"/>
          <w:b/>
          <w:bCs/>
          <w:sz w:val="32"/>
          <w:szCs w:val="32"/>
        </w:rPr>
      </w:pPr>
      <w:r>
        <w:rPr>
          <w:rFonts w:hint="eastAsia" w:ascii="宋体" w:hAnsi="宋体"/>
          <w:b/>
          <w:bCs/>
          <w:sz w:val="32"/>
          <w:szCs w:val="32"/>
        </w:rPr>
      </w:r>
      <w:r/>
    </w:p>
    <w:p>
      <w:pPr>
        <w:pStyle w:val="1004"/>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04"/>
        <w:rPr>
          <w:rFonts w:hint="eastAsia" w:ascii="宋体" w:hAnsi="宋体"/>
          <w:b/>
          <w:sz w:val="36"/>
          <w:szCs w:val="36"/>
        </w:rPr>
      </w:pPr>
      <w:r>
        <w:rPr>
          <w:rFonts w:hint="eastAsia" w:ascii="宋体" w:hAnsi="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1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16"/>
          <w:rFonts w:hint="eastAsia" w:ascii="方正魏碑_GBK" w:hAnsi="方正魏碑_GBK" w:eastAsia="方正魏碑_GBK" w:cs="方正魏碑_GBK"/>
          <w:i w:val="0"/>
          <w:color w:val="ff0000"/>
          <w:u w:val="single"/>
          <w:shd w:val="clear" w:color="auto" w:fill="ffffff"/>
        </w:rPr>
        <w:t xml:space="preserve">（产品名称1）</w:t>
      </w:r>
      <w:r>
        <w:rPr>
          <w:rStyle w:val="816"/>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16"/>
          <w:rFonts w:hint="eastAsia" w:ascii="方正魏碑_GBK" w:hAnsi="方正魏碑_GBK" w:eastAsia="方正魏碑_GBK" w:cs="方正魏碑_GBK"/>
          <w:i w:val="0"/>
          <w:color w:val="ff0000"/>
          <w:u w:val="single"/>
          <w:shd w:val="clear" w:color="auto" w:fill="ffffff"/>
        </w:rPr>
        <w:t xml:space="preserve">（厂名）</w:t>
      </w:r>
      <w:r>
        <w:rPr>
          <w:rStyle w:val="816"/>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1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16"/>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16"/>
          <w:rFonts w:hint="eastAsia" w:ascii="方正魏碑_GBK" w:hAnsi="方正魏碑_GBK" w:eastAsia="方正魏碑_GBK" w:cs="方正魏碑_GBK"/>
          <w:i w:val="0"/>
          <w:color w:val="ff0000"/>
          <w:u w:val="single"/>
          <w:shd w:val="clear" w:color="auto" w:fill="ffffff"/>
        </w:rPr>
        <w:t xml:space="preserve">（规定</w:t>
      </w:r>
      <w:r>
        <w:rPr>
          <w:rStyle w:val="816"/>
          <w:rFonts w:ascii="方正魏碑_GBK" w:hAnsi="方正魏碑_GBK" w:eastAsia="方正魏碑_GBK" w:cs="方正魏碑_GBK"/>
          <w:i w:val="0"/>
          <w:color w:val="ff0000"/>
          <w:u w:val="single"/>
          <w:shd w:val="clear" w:color="auto" w:fill="ffffff"/>
        </w:rPr>
        <w:t xml:space="preserve">比例</w:t>
      </w:r>
      <w:r>
        <w:rPr>
          <w:rStyle w:val="816"/>
          <w:rFonts w:hint="eastAsia" w:ascii="方正魏碑_GBK" w:hAnsi="方正魏碑_GBK" w:eastAsia="方正魏碑_GBK" w:cs="方正魏碑_GBK"/>
          <w:i w:val="0"/>
          <w:color w:val="ff0000"/>
          <w:u w:val="single"/>
          <w:shd w:val="clear" w:color="auto" w:fill="ffffff"/>
        </w:rPr>
        <w:t xml:space="preserve">）</w:t>
      </w:r>
      <w:r>
        <w:rPr>
          <w:rStyle w:val="816"/>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1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16"/>
          <w:rFonts w:hint="eastAsia" w:ascii="方正魏碑_GBK" w:hAnsi="方正魏碑_GBK" w:eastAsia="方正魏碑_GBK" w:cs="方正魏碑_GBK"/>
          <w:i w:val="0"/>
          <w:color w:val="ff0000"/>
          <w:u w:val="single"/>
          <w:shd w:val="clear" w:color="auto" w:fill="ffffff"/>
        </w:rPr>
        <w:t xml:space="preserve">（关键</w:t>
      </w:r>
      <w:r>
        <w:rPr>
          <w:rStyle w:val="816"/>
          <w:rFonts w:ascii="方正魏碑_GBK" w:hAnsi="方正魏碑_GBK" w:eastAsia="方正魏碑_GBK" w:cs="方正魏碑_GBK"/>
          <w:i w:val="0"/>
          <w:color w:val="ff0000"/>
          <w:u w:val="single"/>
          <w:shd w:val="clear" w:color="auto" w:fill="ffffff"/>
        </w:rPr>
        <w:t xml:space="preserve">组件</w:t>
      </w:r>
      <w:r>
        <w:rPr>
          <w:rStyle w:val="816"/>
          <w:rFonts w:hint="eastAsia" w:ascii="方正魏碑_GBK" w:hAnsi="方正魏碑_GBK" w:eastAsia="方正魏碑_GBK" w:cs="方正魏碑_GBK"/>
          <w:i w:val="0"/>
          <w:color w:val="ff0000"/>
          <w:u w:val="single"/>
          <w:shd w:val="clear" w:color="auto" w:fill="ffffff"/>
        </w:rPr>
        <w:t xml:space="preserve">）</w:t>
      </w:r>
      <w:r>
        <w:rPr>
          <w:rStyle w:val="816"/>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1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16"/>
          <w:rFonts w:hint="eastAsia" w:ascii="方正魏碑_GBK" w:hAnsi="方正魏碑_GBK" w:eastAsia="方正魏碑_GBK" w:cs="方正魏碑_GBK"/>
          <w:i w:val="0"/>
          <w:color w:val="ff0000"/>
          <w:u w:val="single"/>
          <w:shd w:val="clear" w:color="auto" w:fill="ffffff"/>
        </w:rPr>
        <w:t xml:space="preserve">（关键工序）</w:t>
      </w:r>
      <w:r>
        <w:rPr>
          <w:rStyle w:val="816"/>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10"/>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1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16"/>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1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1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16"/>
          <w:rFonts w:hint="eastAsia" w:ascii="方正魏碑_GBK" w:hAnsi="方正魏碑_GBK" w:eastAsia="方正魏碑_GBK" w:cs="方正魏碑_GBK"/>
          <w:i w:val="0"/>
          <w:color w:val="ff0000"/>
          <w:u w:val="single"/>
          <w:shd w:val="clear" w:color="auto" w:fill="ffffff"/>
        </w:rPr>
        <w:t xml:space="preserve">（规定</w:t>
      </w:r>
      <w:r>
        <w:rPr>
          <w:rStyle w:val="816"/>
          <w:rFonts w:ascii="方正魏碑_GBK" w:hAnsi="方正魏碑_GBK" w:eastAsia="方正魏碑_GBK" w:cs="方正魏碑_GBK"/>
          <w:i w:val="0"/>
          <w:color w:val="ff0000"/>
          <w:u w:val="single"/>
          <w:shd w:val="clear" w:color="auto" w:fill="ffffff"/>
        </w:rPr>
        <w:t xml:space="preserve">比例</w:t>
      </w:r>
      <w:r>
        <w:rPr>
          <w:rStyle w:val="81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1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16"/>
          <w:rFonts w:hint="eastAsia" w:ascii="方正魏碑_GBK" w:hAnsi="方正魏碑_GBK" w:eastAsia="方正魏碑_GBK" w:cs="方正魏碑_GBK"/>
          <w:i w:val="0"/>
          <w:color w:val="ff0000"/>
          <w:u w:val="single"/>
          <w:shd w:val="clear" w:color="auto" w:fill="ffffff"/>
        </w:rPr>
        <w:t xml:space="preserve">（关键</w:t>
      </w:r>
      <w:r>
        <w:rPr>
          <w:rStyle w:val="816"/>
          <w:rFonts w:ascii="方正魏碑_GBK" w:hAnsi="方正魏碑_GBK" w:eastAsia="方正魏碑_GBK" w:cs="方正魏碑_GBK"/>
          <w:i w:val="0"/>
          <w:color w:val="ff0000"/>
          <w:u w:val="single"/>
          <w:shd w:val="clear" w:color="auto" w:fill="ffffff"/>
        </w:rPr>
        <w:t xml:space="preserve">组件</w:t>
      </w:r>
      <w:r>
        <w:rPr>
          <w:rStyle w:val="81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1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16"/>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1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1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1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0"/>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1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1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1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1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1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1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1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1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788"/>
      </w:pPr>
      <w:r/>
      <w:r/>
    </w:p>
    <w:p>
      <w:r/>
      <w:r/>
    </w:p>
    <w:p>
      <w:pPr>
        <w:pStyle w:val="788"/>
      </w:pPr>
      <w:r/>
      <w:r/>
    </w:p>
    <w:p>
      <w:r/>
      <w:r/>
    </w:p>
    <w:p>
      <w:pPr>
        <w:pStyle w:val="788"/>
      </w:pPr>
      <w:r/>
      <w:r/>
    </w:p>
    <w:p>
      <w:r/>
      <w:r/>
    </w:p>
    <w:p>
      <w:pPr>
        <w:pStyle w:val="788"/>
      </w:pPr>
      <w:r/>
      <w:r/>
    </w:p>
    <w:p>
      <w:r/>
      <w:r/>
    </w:p>
    <w:p>
      <w:pPr>
        <w:pStyle w:val="788"/>
      </w:pPr>
      <w:r/>
      <w:r/>
    </w:p>
    <w:p>
      <w:pPr>
        <w:pStyle w:val="788"/>
      </w:pPr>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788"/>
      </w:pPr>
      <w:r/>
      <w:r/>
    </w:p>
    <w:p>
      <w:r/>
      <w:r/>
    </w:p>
    <w:p>
      <w:pPr>
        <w:pStyle w:val="788"/>
      </w:pPr>
      <w:r/>
      <w:r/>
    </w:p>
    <w:p>
      <w:r/>
      <w:r/>
    </w:p>
    <w:p>
      <w:pPr>
        <w:pStyle w:val="788"/>
      </w:pPr>
      <w:r/>
      <w:r/>
    </w:p>
    <w:p>
      <w:r/>
      <w:r/>
    </w:p>
    <w:p>
      <w:pPr>
        <w:pStyle w:val="788"/>
      </w:pPr>
      <w:r/>
      <w:r/>
    </w:p>
    <w:p>
      <w:r/>
      <w:r/>
    </w:p>
    <w:p>
      <w:pPr>
        <w:pStyle w:val="788"/>
      </w:pPr>
      <w:r/>
      <w:r/>
    </w:p>
    <w:p>
      <w:pPr>
        <w:pStyle w:val="788"/>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5" w:name="_Toc11176"/>
      <w:r>
        <w:rPr>
          <w:rFonts w:hint="eastAsia" w:eastAsia="黑体" w:cs="黑体"/>
          <w:b/>
          <w:sz w:val="32"/>
          <w:szCs w:val="24"/>
        </w:rPr>
        <w:t xml:space="preserve">十、</w:t>
      </w:r>
      <w:bookmarkEnd w:id="55"/>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6" w:name="_Toc28140"/>
      <w:r>
        <w:rPr>
          <w:rFonts w:hint="eastAsia" w:eastAsia="黑体" w:cs="黑体"/>
          <w:b/>
          <w:sz w:val="32"/>
          <w:szCs w:val="24"/>
        </w:rPr>
        <w:t xml:space="preserve">十一</w:t>
      </w:r>
      <w:r>
        <w:rPr>
          <w:rFonts w:eastAsia="黑体" w:cs="黑体"/>
          <w:b/>
          <w:sz w:val="32"/>
          <w:szCs w:val="24"/>
        </w:rPr>
        <w:t xml:space="preserve">、投标所需其他材料</w:t>
      </w:r>
      <w:bookmarkEnd w:id="56"/>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1"/>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7" w:name="_Hlt26671374"/>
      <w:r/>
      <w:bookmarkStart w:id="58" w:name="_Hlt26955066"/>
      <w:r/>
      <w:bookmarkStart w:id="59" w:name="_Hlt26609389"/>
      <w:r/>
      <w:bookmarkStart w:id="60" w:name="_Toc462564146"/>
      <w:r/>
      <w:bookmarkEnd w:id="57"/>
      <w:r/>
      <w:bookmarkEnd w:id="58"/>
      <w:r/>
      <w:bookmarkEnd w:id="59"/>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1" w:name="_格式2__法定代表人授权书"/>
      <w:r/>
      <w:bookmarkEnd w:id="60"/>
      <w:r/>
      <w:bookmarkEnd w:id="61"/>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hint="eastAsia"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u w:val="single"/>
        </w:rPr>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签字(签章)：                   公章：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79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79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788"/>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79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788"/>
                    </w:pPr>
                    <w:r/>
                    <w:r/>
                  </w:p>
                </w:txbxContent>
              </v:textbox>
            </v:shape>
          </w:pict>
        </mc:Fallback>
      </mc:AlternateContent>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1"/>
    <w:link w:val="772"/>
    <w:uiPriority w:val="9"/>
    <w:rPr>
      <w:rFonts w:ascii="Arial" w:hAnsi="Arial" w:eastAsia="Arial" w:cs="Arial"/>
      <w:sz w:val="40"/>
      <w:szCs w:val="40"/>
    </w:rPr>
  </w:style>
  <w:style w:type="character" w:styleId="15">
    <w:name w:val="Heading 2 Char"/>
    <w:basedOn w:val="781"/>
    <w:link w:val="773"/>
    <w:uiPriority w:val="9"/>
    <w:rPr>
      <w:rFonts w:ascii="Arial" w:hAnsi="Arial" w:eastAsia="Arial" w:cs="Arial"/>
      <w:sz w:val="34"/>
    </w:rPr>
  </w:style>
  <w:style w:type="character" w:styleId="17">
    <w:name w:val="Heading 3 Char"/>
    <w:basedOn w:val="781"/>
    <w:link w:val="774"/>
    <w:uiPriority w:val="9"/>
    <w:rPr>
      <w:rFonts w:ascii="Arial" w:hAnsi="Arial" w:eastAsia="Arial" w:cs="Arial"/>
      <w:sz w:val="30"/>
      <w:szCs w:val="30"/>
    </w:rPr>
  </w:style>
  <w:style w:type="character" w:styleId="19">
    <w:name w:val="Heading 4 Char"/>
    <w:basedOn w:val="781"/>
    <w:link w:val="775"/>
    <w:uiPriority w:val="9"/>
    <w:rPr>
      <w:rFonts w:ascii="Arial" w:hAnsi="Arial" w:eastAsia="Arial" w:cs="Arial"/>
      <w:b/>
      <w:bCs/>
      <w:sz w:val="26"/>
      <w:szCs w:val="26"/>
    </w:rPr>
  </w:style>
  <w:style w:type="character" w:styleId="21">
    <w:name w:val="Heading 5 Char"/>
    <w:basedOn w:val="781"/>
    <w:link w:val="776"/>
    <w:uiPriority w:val="9"/>
    <w:rPr>
      <w:rFonts w:ascii="Arial" w:hAnsi="Arial" w:eastAsia="Arial" w:cs="Arial"/>
      <w:b/>
      <w:bCs/>
      <w:sz w:val="24"/>
      <w:szCs w:val="24"/>
    </w:rPr>
  </w:style>
  <w:style w:type="character" w:styleId="23">
    <w:name w:val="Heading 6 Char"/>
    <w:basedOn w:val="781"/>
    <w:link w:val="777"/>
    <w:uiPriority w:val="9"/>
    <w:rPr>
      <w:rFonts w:ascii="Arial" w:hAnsi="Arial" w:eastAsia="Arial" w:cs="Arial"/>
      <w:b/>
      <w:bCs/>
      <w:sz w:val="22"/>
      <w:szCs w:val="22"/>
    </w:rPr>
  </w:style>
  <w:style w:type="character" w:styleId="25">
    <w:name w:val="Heading 7 Char"/>
    <w:basedOn w:val="781"/>
    <w:link w:val="778"/>
    <w:uiPriority w:val="9"/>
    <w:rPr>
      <w:rFonts w:ascii="Arial" w:hAnsi="Arial" w:eastAsia="Arial" w:cs="Arial"/>
      <w:b/>
      <w:bCs/>
      <w:i/>
      <w:iCs/>
      <w:sz w:val="22"/>
      <w:szCs w:val="22"/>
    </w:rPr>
  </w:style>
  <w:style w:type="character" w:styleId="27">
    <w:name w:val="Heading 8 Char"/>
    <w:basedOn w:val="781"/>
    <w:link w:val="779"/>
    <w:uiPriority w:val="9"/>
    <w:rPr>
      <w:rFonts w:ascii="Arial" w:hAnsi="Arial" w:eastAsia="Arial" w:cs="Arial"/>
      <w:i/>
      <w:iCs/>
      <w:sz w:val="22"/>
      <w:szCs w:val="22"/>
    </w:rPr>
  </w:style>
  <w:style w:type="character" w:styleId="29">
    <w:name w:val="Heading 9 Char"/>
    <w:basedOn w:val="781"/>
    <w:link w:val="780"/>
    <w:uiPriority w:val="9"/>
    <w:rPr>
      <w:rFonts w:ascii="Arial" w:hAnsi="Arial" w:eastAsia="Arial" w:cs="Arial"/>
      <w:i/>
      <w:iCs/>
      <w:sz w:val="21"/>
      <w:szCs w:val="21"/>
    </w:rPr>
  </w:style>
  <w:style w:type="character" w:styleId="34">
    <w:name w:val="Title Char"/>
    <w:basedOn w:val="781"/>
    <w:link w:val="811"/>
    <w:uiPriority w:val="10"/>
    <w:rPr>
      <w:sz w:val="48"/>
      <w:szCs w:val="48"/>
    </w:rPr>
  </w:style>
  <w:style w:type="character" w:styleId="36">
    <w:name w:val="Subtitle Char"/>
    <w:basedOn w:val="781"/>
    <w:link w:val="804"/>
    <w:uiPriority w:val="11"/>
    <w:rPr>
      <w:sz w:val="24"/>
      <w:szCs w:val="24"/>
    </w:rPr>
  </w:style>
  <w:style w:type="character" w:styleId="38">
    <w:name w:val="Quote Char"/>
    <w:link w:val="834"/>
    <w:uiPriority w:val="29"/>
    <w:rPr>
      <w:i/>
    </w:rPr>
  </w:style>
  <w:style w:type="character" w:styleId="40">
    <w:name w:val="Intense Quote Char"/>
    <w:link w:val="836"/>
    <w:uiPriority w:val="30"/>
    <w:rPr>
      <w:i/>
    </w:rPr>
  </w:style>
  <w:style w:type="character" w:styleId="46">
    <w:name w:val="Caption Char"/>
    <w:basedOn w:val="786"/>
    <w:link w:val="797"/>
    <w:uiPriority w:val="99"/>
  </w:style>
  <w:style w:type="table" w:styleId="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5"/>
    <w:uiPriority w:val="99"/>
    <w:rPr>
      <w:sz w:val="18"/>
    </w:rPr>
  </w:style>
  <w:style w:type="character" w:styleId="178">
    <w:name w:val="Endnote Text Char"/>
    <w:link w:val="795"/>
    <w:uiPriority w:val="99"/>
    <w:rPr>
      <w:sz w:val="20"/>
    </w:rPr>
  </w:style>
  <w:style w:type="paragraph" w:styleId="189">
    <w:name w:val="TOC Heading"/>
    <w:uiPriority w:val="39"/>
    <w:unhideWhenUsed/>
  </w:style>
  <w:style w:type="paragraph" w:styleId="771" w:default="1">
    <w:name w:val="Normal"/>
    <w:qFormat/>
    <w:pPr>
      <w:jc w:val="both"/>
      <w:widowControl w:val="off"/>
    </w:pPr>
    <w:rPr>
      <w:rFonts w:eastAsia="楷体_GB2312"/>
      <w:sz w:val="26"/>
    </w:rPr>
  </w:style>
  <w:style w:type="paragraph" w:styleId="772">
    <w:name w:val="Heading 1"/>
    <w:basedOn w:val="771"/>
    <w:next w:val="771"/>
    <w:link w:val="821"/>
    <w:qFormat/>
    <w:pPr>
      <w:jc w:val="center"/>
      <w:keepLines/>
      <w:keepNext/>
      <w:spacing w:line="360" w:lineRule="auto"/>
      <w:outlineLvl w:val="0"/>
    </w:pPr>
    <w:rPr>
      <w:rFonts w:eastAsia="宋体"/>
      <w:b/>
      <w:sz w:val="32"/>
    </w:rPr>
  </w:style>
  <w:style w:type="paragraph" w:styleId="773">
    <w:name w:val="Heading 2"/>
    <w:basedOn w:val="771"/>
    <w:next w:val="771"/>
    <w:link w:val="822"/>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23"/>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24"/>
    <w:uiPriority w:val="9"/>
    <w:unhideWhenUsed/>
    <w:qFormat/>
    <w:pPr>
      <w:keepLines/>
      <w:keepNext/>
      <w:spacing w:before="320" w:after="200"/>
      <w:outlineLvl w:val="3"/>
    </w:pPr>
    <w:rPr>
      <w:rFonts w:ascii="Arial" w:hAnsi="Arial" w:eastAsia="Arial" w:cs="Arial"/>
      <w:b/>
      <w:bCs/>
      <w:szCs w:val="26"/>
    </w:rPr>
  </w:style>
  <w:style w:type="paragraph" w:styleId="776">
    <w:name w:val="Heading 5"/>
    <w:basedOn w:val="771"/>
    <w:next w:val="771"/>
    <w:link w:val="825"/>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26"/>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28"/>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29"/>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style>
  <w:style w:type="table" w:styleId="782" w:default="1">
    <w:name w:val="Normal Table"/>
    <w:uiPriority w:val="99"/>
    <w:semiHidden/>
    <w:unhideWhenUsed/>
    <w:tblPr>
      <w:tblInd w:w="0" w:type="dxa"/>
      <w:tblCellMar>
        <w:left w:w="108" w:type="dxa"/>
        <w:top w:w="0" w:type="dxa"/>
        <w:right w:w="108" w:type="dxa"/>
        <w:bottom w:w="0" w:type="dxa"/>
      </w:tblCellMar>
    </w:tblPr>
  </w:style>
  <w:style w:type="numbering" w:styleId="783" w:default="1">
    <w:name w:val="No List"/>
    <w:uiPriority w:val="99"/>
    <w:semiHidden/>
    <w:unhideWhenUsed/>
  </w:style>
  <w:style w:type="paragraph" w:styleId="784">
    <w:name w:val="toc 7"/>
    <w:basedOn w:val="771"/>
    <w:next w:val="771"/>
    <w:uiPriority w:val="39"/>
    <w:unhideWhenUsed/>
    <w:qFormat/>
    <w:pPr>
      <w:ind w:left="1701"/>
      <w:spacing w:after="57"/>
    </w:pPr>
  </w:style>
  <w:style w:type="paragraph" w:styleId="785">
    <w:name w:val="Normal Indent"/>
    <w:basedOn w:val="771"/>
    <w:next w:val="771"/>
    <w:qFormat/>
    <w:pPr>
      <w:ind w:firstLine="200"/>
    </w:pPr>
  </w:style>
  <w:style w:type="paragraph" w:styleId="786">
    <w:name w:val="Caption"/>
    <w:basedOn w:val="771"/>
    <w:next w:val="771"/>
    <w:uiPriority w:val="35"/>
    <w:semiHidden/>
    <w:unhideWhenUsed/>
    <w:qFormat/>
    <w:pPr>
      <w:spacing w:line="276" w:lineRule="auto"/>
    </w:pPr>
    <w:rPr>
      <w:b/>
      <w:bCs/>
      <w:color w:val="4f81bd"/>
      <w:sz w:val="18"/>
      <w:szCs w:val="18"/>
    </w:rPr>
  </w:style>
  <w:style w:type="paragraph" w:styleId="787">
    <w:name w:val="annotation text"/>
    <w:basedOn w:val="771"/>
    <w:link w:val="1003"/>
    <w:uiPriority w:val="99"/>
    <w:semiHidden/>
    <w:unhideWhenUsed/>
    <w:qFormat/>
    <w:pPr>
      <w:jc w:val="left"/>
    </w:pPr>
  </w:style>
  <w:style w:type="paragraph" w:styleId="788">
    <w:name w:val="Body Text"/>
    <w:basedOn w:val="771"/>
    <w:next w:val="771"/>
    <w:qFormat/>
    <w:rPr>
      <w:rFonts w:ascii="楷体_GB2312" w:hAnsi="Arial"/>
      <w:sz w:val="28"/>
    </w:rPr>
  </w:style>
  <w:style w:type="paragraph" w:styleId="789">
    <w:name w:val="Body Text Indent"/>
    <w:basedOn w:val="771"/>
    <w:qFormat/>
    <w:pPr>
      <w:ind w:firstLine="645"/>
    </w:pPr>
    <w:rPr>
      <w:rFonts w:ascii="楷体_GB2312" w:hAnsi="Calibri"/>
      <w:sz w:val="32"/>
      <w:szCs w:val="22"/>
    </w:rPr>
  </w:style>
  <w:style w:type="paragraph" w:styleId="790">
    <w:name w:val="Block Text"/>
    <w:basedOn w:val="771"/>
    <w:qFormat/>
    <w:pPr>
      <w:ind w:left="525" w:right="-1" w:firstLine="525"/>
      <w:spacing w:line="312" w:lineRule="atLeast"/>
    </w:pPr>
    <w:rPr>
      <w:sz w:val="28"/>
      <w:szCs w:val="28"/>
    </w:rPr>
  </w:style>
  <w:style w:type="paragraph" w:styleId="791">
    <w:name w:val="toc 5"/>
    <w:basedOn w:val="771"/>
    <w:next w:val="771"/>
    <w:uiPriority w:val="39"/>
    <w:unhideWhenUsed/>
    <w:qFormat/>
    <w:pPr>
      <w:ind w:left="1134"/>
      <w:spacing w:after="57"/>
    </w:pPr>
  </w:style>
  <w:style w:type="paragraph" w:styleId="792">
    <w:name w:val="toc 3"/>
    <w:basedOn w:val="771"/>
    <w:next w:val="771"/>
    <w:uiPriority w:val="39"/>
    <w:unhideWhenUsed/>
    <w:qFormat/>
    <w:pPr>
      <w:ind w:left="567"/>
      <w:spacing w:after="57"/>
    </w:pPr>
  </w:style>
  <w:style w:type="paragraph" w:styleId="793">
    <w:name w:val="Plain Text"/>
    <w:basedOn w:val="771"/>
    <w:next w:val="785"/>
    <w:qFormat/>
    <w:rPr>
      <w:rFonts w:ascii="宋体"/>
    </w:rPr>
  </w:style>
  <w:style w:type="paragraph" w:styleId="794">
    <w:name w:val="toc 8"/>
    <w:basedOn w:val="771"/>
    <w:next w:val="771"/>
    <w:uiPriority w:val="39"/>
    <w:unhideWhenUsed/>
    <w:qFormat/>
    <w:pPr>
      <w:ind w:left="1984"/>
      <w:spacing w:after="57"/>
    </w:pPr>
  </w:style>
  <w:style w:type="paragraph" w:styleId="795">
    <w:name w:val="endnote text"/>
    <w:basedOn w:val="771"/>
    <w:link w:val="967"/>
    <w:uiPriority w:val="99"/>
    <w:semiHidden/>
    <w:unhideWhenUsed/>
    <w:qFormat/>
    <w:rPr>
      <w:sz w:val="20"/>
    </w:rPr>
  </w:style>
  <w:style w:type="paragraph" w:styleId="796">
    <w:name w:val="Balloon Text"/>
    <w:basedOn w:val="771"/>
    <w:link w:val="999"/>
    <w:uiPriority w:val="99"/>
    <w:semiHidden/>
    <w:unhideWhenUsed/>
    <w:qFormat/>
    <w:rPr>
      <w:sz w:val="18"/>
      <w:szCs w:val="18"/>
    </w:rPr>
  </w:style>
  <w:style w:type="paragraph" w:styleId="797">
    <w:name w:val="Footer"/>
    <w:basedOn w:val="771"/>
    <w:link w:val="840"/>
    <w:uiPriority w:val="99"/>
    <w:unhideWhenUsed/>
    <w:qFormat/>
    <w:pPr>
      <w:tabs>
        <w:tab w:val="center" w:pos="7143" w:leader="none"/>
        <w:tab w:val="right" w:pos="14287" w:leader="none"/>
      </w:tabs>
    </w:pPr>
  </w:style>
  <w:style w:type="paragraph" w:styleId="798">
    <w:name w:val="envelope return"/>
    <w:basedOn w:val="799"/>
    <w:uiPriority w:val="99"/>
    <w:unhideWhenUsed/>
    <w:qFormat/>
    <w:rPr>
      <w:rFonts w:ascii="Arial" w:hAnsi="Arial"/>
    </w:rPr>
  </w:style>
  <w:style w:type="paragraph" w:styleId="799" w:customStyle="1">
    <w:name w:val="Normal_19"/>
    <w:next w:val="800"/>
    <w:qFormat/>
    <w:pPr>
      <w:jc w:val="both"/>
      <w:widowControl w:val="off"/>
    </w:pPr>
    <w:rPr>
      <w:sz w:val="21"/>
      <w:szCs w:val="24"/>
    </w:rPr>
  </w:style>
  <w:style w:type="paragraph" w:styleId="800" w:customStyle="1">
    <w:name w:val="正文文本缩进1"/>
    <w:basedOn w:val="771"/>
    <w:next w:val="798"/>
    <w:unhideWhenUsed/>
    <w:qFormat/>
    <w:pPr>
      <w:ind w:firstLine="570"/>
    </w:pPr>
    <w:rPr>
      <w:rFonts w:ascii="宋体" w:eastAsia="宋体"/>
      <w:sz w:val="28"/>
    </w:rPr>
  </w:style>
  <w:style w:type="paragraph" w:styleId="801">
    <w:name w:val="Header"/>
    <w:basedOn w:val="771"/>
    <w:link w:val="969"/>
    <w:qFormat/>
    <w:pPr>
      <w:jc w:val="center"/>
      <w:tabs>
        <w:tab w:val="center" w:pos="4153" w:leader="none"/>
        <w:tab w:val="right" w:pos="8306" w:leader="none"/>
      </w:tabs>
    </w:pPr>
    <w:rPr>
      <w:sz w:val="18"/>
      <w:szCs w:val="18"/>
    </w:rPr>
  </w:style>
  <w:style w:type="paragraph" w:styleId="802">
    <w:name w:val="toc 1"/>
    <w:basedOn w:val="771"/>
    <w:next w:val="771"/>
    <w:uiPriority w:val="39"/>
    <w:unhideWhenUsed/>
    <w:qFormat/>
    <w:pPr>
      <w:spacing w:after="57"/>
    </w:pPr>
  </w:style>
  <w:style w:type="paragraph" w:styleId="803">
    <w:name w:val="toc 4"/>
    <w:basedOn w:val="771"/>
    <w:next w:val="771"/>
    <w:uiPriority w:val="39"/>
    <w:unhideWhenUsed/>
    <w:qFormat/>
    <w:pPr>
      <w:ind w:left="850"/>
      <w:spacing w:after="57"/>
    </w:pPr>
  </w:style>
  <w:style w:type="paragraph" w:styleId="804">
    <w:name w:val="Subtitle"/>
    <w:basedOn w:val="771"/>
    <w:next w:val="771"/>
    <w:link w:val="833"/>
    <w:uiPriority w:val="11"/>
    <w:qFormat/>
    <w:pPr>
      <w:spacing w:before="200" w:after="200"/>
    </w:pPr>
    <w:rPr>
      <w:sz w:val="24"/>
      <w:szCs w:val="24"/>
    </w:rPr>
  </w:style>
  <w:style w:type="paragraph" w:styleId="805">
    <w:name w:val="footnote text"/>
    <w:basedOn w:val="771"/>
    <w:link w:val="966"/>
    <w:uiPriority w:val="99"/>
    <w:semiHidden/>
    <w:unhideWhenUsed/>
    <w:qFormat/>
    <w:pPr>
      <w:spacing w:after="40"/>
    </w:pPr>
    <w:rPr>
      <w:sz w:val="18"/>
    </w:rPr>
  </w:style>
  <w:style w:type="paragraph" w:styleId="806">
    <w:name w:val="toc 6"/>
    <w:basedOn w:val="771"/>
    <w:next w:val="771"/>
    <w:uiPriority w:val="39"/>
    <w:unhideWhenUsed/>
    <w:qFormat/>
    <w:pPr>
      <w:ind w:left="1417"/>
      <w:spacing w:after="57"/>
    </w:pPr>
  </w:style>
  <w:style w:type="paragraph" w:styleId="807">
    <w:name w:val="table of figures"/>
    <w:basedOn w:val="771"/>
    <w:next w:val="771"/>
    <w:uiPriority w:val="99"/>
    <w:unhideWhenUsed/>
    <w:qFormat/>
  </w:style>
  <w:style w:type="paragraph" w:styleId="808">
    <w:name w:val="toc 2"/>
    <w:basedOn w:val="771"/>
    <w:next w:val="771"/>
    <w:uiPriority w:val="39"/>
    <w:unhideWhenUsed/>
    <w:qFormat/>
    <w:pPr>
      <w:ind w:left="283"/>
      <w:spacing w:after="57"/>
    </w:pPr>
  </w:style>
  <w:style w:type="paragraph" w:styleId="809">
    <w:name w:val="toc 9"/>
    <w:basedOn w:val="771"/>
    <w:next w:val="771"/>
    <w:uiPriority w:val="39"/>
    <w:unhideWhenUsed/>
    <w:qFormat/>
    <w:pPr>
      <w:ind w:left="2268"/>
      <w:spacing w:after="57"/>
    </w:pPr>
  </w:style>
  <w:style w:type="paragraph" w:styleId="810">
    <w:name w:val="Normal (Web)"/>
    <w:basedOn w:val="771"/>
    <w:qFormat/>
    <w:pPr>
      <w:jc w:val="left"/>
      <w:spacing w:before="100" w:beforeAutospacing="1" w:after="100" w:afterAutospacing="1"/>
      <w:widowControl/>
    </w:pPr>
    <w:rPr>
      <w:rFonts w:ascii="宋体" w:hAnsi="宋体"/>
      <w:color w:val="000000"/>
      <w:sz w:val="24"/>
      <w:szCs w:val="24"/>
    </w:rPr>
  </w:style>
  <w:style w:type="paragraph" w:styleId="811">
    <w:name w:val="Title"/>
    <w:basedOn w:val="771"/>
    <w:next w:val="771"/>
    <w:link w:val="832"/>
    <w:uiPriority w:val="10"/>
    <w:qFormat/>
    <w:pPr>
      <w:contextualSpacing/>
      <w:spacing w:before="300" w:after="200"/>
    </w:pPr>
    <w:rPr>
      <w:sz w:val="48"/>
      <w:szCs w:val="48"/>
    </w:rPr>
  </w:style>
  <w:style w:type="paragraph" w:styleId="812">
    <w:name w:val="Body Text First Indent"/>
    <w:basedOn w:val="788"/>
    <w:next w:val="813"/>
    <w:qFormat/>
    <w:pPr>
      <w:ind w:firstLine="420"/>
    </w:pPr>
  </w:style>
  <w:style w:type="paragraph" w:styleId="813">
    <w:name w:val="Body Text First Indent 2"/>
    <w:basedOn w:val="789"/>
    <w:uiPriority w:val="99"/>
    <w:unhideWhenUsed/>
    <w:qFormat/>
    <w:pPr>
      <w:ind w:firstLine="200"/>
    </w:pPr>
  </w:style>
  <w:style w:type="table" w:styleId="814">
    <w:name w:val="Table Grid"/>
    <w:basedOn w:val="78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endnote reference"/>
    <w:uiPriority w:val="99"/>
    <w:semiHidden/>
    <w:unhideWhenUsed/>
    <w:qFormat/>
    <w:rPr>
      <w:vertAlign w:val="superscript"/>
    </w:rPr>
  </w:style>
  <w:style w:type="character" w:styleId="816">
    <w:name w:val="Emphasis"/>
    <w:qFormat/>
    <w:rPr>
      <w:rFonts w:ascii="Times New Roman" w:hAnsi="Times New Roman" w:eastAsia="宋体" w:cs="Times New Roman"/>
      <w:i/>
    </w:rPr>
  </w:style>
  <w:style w:type="character" w:styleId="817">
    <w:name w:val="Hyperlink"/>
    <w:uiPriority w:val="99"/>
    <w:unhideWhenUsed/>
    <w:qFormat/>
    <w:rPr>
      <w:color w:val="0563c1"/>
      <w:u w:val="single"/>
    </w:rPr>
  </w:style>
  <w:style w:type="character" w:styleId="818">
    <w:name w:val="annotation reference"/>
    <w:basedOn w:val="781"/>
    <w:uiPriority w:val="99"/>
    <w:semiHidden/>
    <w:unhideWhenUsed/>
    <w:qFormat/>
    <w:rPr>
      <w:sz w:val="21"/>
      <w:szCs w:val="21"/>
    </w:rPr>
  </w:style>
  <w:style w:type="character" w:styleId="819">
    <w:name w:val="footnote reference"/>
    <w:uiPriority w:val="99"/>
    <w:unhideWhenUsed/>
    <w:qFormat/>
    <w:rPr>
      <w:vertAlign w:val="superscript"/>
    </w:rPr>
  </w:style>
  <w:style w:type="paragraph" w:styleId="820" w:customStyle="1">
    <w:name w:val="标题 31"/>
    <w:basedOn w:val="771"/>
    <w:next w:val="771"/>
    <w:qFormat/>
    <w:pPr>
      <w:keepLines/>
      <w:keepNext/>
      <w:spacing w:before="260" w:after="260" w:line="416" w:lineRule="auto"/>
      <w:outlineLvl w:val="2"/>
    </w:pPr>
    <w:rPr>
      <w:b/>
      <w:bCs/>
      <w:sz w:val="32"/>
      <w:szCs w:val="32"/>
    </w:rPr>
  </w:style>
  <w:style w:type="character" w:styleId="821" w:customStyle="1">
    <w:name w:val="标题 1 字符"/>
    <w:link w:val="772"/>
    <w:qFormat/>
    <w:rPr>
      <w:rFonts w:ascii="Arial" w:hAnsi="Arial" w:eastAsia="Arial" w:cs="Arial"/>
      <w:sz w:val="40"/>
      <w:szCs w:val="40"/>
    </w:rPr>
  </w:style>
  <w:style w:type="character" w:styleId="822" w:customStyle="1">
    <w:name w:val="标题 2 字符"/>
    <w:link w:val="773"/>
    <w:uiPriority w:val="9"/>
    <w:qFormat/>
    <w:rPr>
      <w:rFonts w:ascii="Arial" w:hAnsi="Arial" w:eastAsia="Arial" w:cs="Arial"/>
      <w:sz w:val="34"/>
    </w:rPr>
  </w:style>
  <w:style w:type="character" w:styleId="823" w:customStyle="1">
    <w:name w:val="标题 3 字符"/>
    <w:link w:val="774"/>
    <w:uiPriority w:val="9"/>
    <w:qFormat/>
    <w:rPr>
      <w:rFonts w:ascii="Arial" w:hAnsi="Arial" w:eastAsia="Arial" w:cs="Arial"/>
      <w:sz w:val="30"/>
      <w:szCs w:val="30"/>
    </w:rPr>
  </w:style>
  <w:style w:type="character" w:styleId="824" w:customStyle="1">
    <w:name w:val="标题 4 字符"/>
    <w:link w:val="775"/>
    <w:uiPriority w:val="9"/>
    <w:qFormat/>
    <w:rPr>
      <w:rFonts w:ascii="Arial" w:hAnsi="Arial" w:eastAsia="Arial" w:cs="Arial"/>
      <w:b/>
      <w:bCs/>
      <w:sz w:val="26"/>
      <w:szCs w:val="26"/>
    </w:rPr>
  </w:style>
  <w:style w:type="character" w:styleId="825" w:customStyle="1">
    <w:name w:val="标题 5 字符"/>
    <w:link w:val="776"/>
    <w:uiPriority w:val="9"/>
    <w:qFormat/>
    <w:rPr>
      <w:rFonts w:ascii="Arial" w:hAnsi="Arial" w:eastAsia="Arial" w:cs="Arial"/>
      <w:b/>
      <w:bCs/>
      <w:sz w:val="24"/>
      <w:szCs w:val="24"/>
    </w:rPr>
  </w:style>
  <w:style w:type="character" w:styleId="826" w:customStyle="1">
    <w:name w:val="标题 6 字符"/>
    <w:link w:val="777"/>
    <w:uiPriority w:val="9"/>
    <w:qFormat/>
    <w:rPr>
      <w:rFonts w:ascii="Arial" w:hAnsi="Arial" w:eastAsia="Arial" w:cs="Arial"/>
      <w:b/>
      <w:bCs/>
      <w:sz w:val="22"/>
      <w:szCs w:val="22"/>
    </w:rPr>
  </w:style>
  <w:style w:type="character" w:styleId="827" w:customStyle="1">
    <w:name w:val="标题 7 字符"/>
    <w:link w:val="778"/>
    <w:uiPriority w:val="9"/>
    <w:qFormat/>
    <w:rPr>
      <w:rFonts w:ascii="Arial" w:hAnsi="Arial" w:eastAsia="Arial" w:cs="Arial"/>
      <w:b/>
      <w:bCs/>
      <w:i/>
      <w:iCs/>
      <w:sz w:val="22"/>
      <w:szCs w:val="22"/>
    </w:rPr>
  </w:style>
  <w:style w:type="character" w:styleId="828" w:customStyle="1">
    <w:name w:val="标题 8 字符"/>
    <w:link w:val="779"/>
    <w:uiPriority w:val="9"/>
    <w:qFormat/>
    <w:rPr>
      <w:rFonts w:ascii="Arial" w:hAnsi="Arial" w:eastAsia="Arial" w:cs="Arial"/>
      <w:i/>
      <w:iCs/>
      <w:sz w:val="22"/>
      <w:szCs w:val="22"/>
    </w:rPr>
  </w:style>
  <w:style w:type="character" w:styleId="829" w:customStyle="1">
    <w:name w:val="标题 9 字符"/>
    <w:link w:val="780"/>
    <w:uiPriority w:val="9"/>
    <w:qFormat/>
    <w:rPr>
      <w:rFonts w:ascii="Arial" w:hAnsi="Arial" w:eastAsia="Arial" w:cs="Arial"/>
      <w:i/>
      <w:iCs/>
      <w:sz w:val="21"/>
      <w:szCs w:val="21"/>
    </w:rPr>
  </w:style>
  <w:style w:type="paragraph" w:styleId="830">
    <w:name w:val="List Paragraph"/>
    <w:basedOn w:val="771"/>
    <w:qFormat/>
    <w:pPr>
      <w:ind w:firstLine="420"/>
    </w:pPr>
  </w:style>
  <w:style w:type="paragraph" w:styleId="831">
    <w:name w:val="No Spacing"/>
    <w:uiPriority w:val="1"/>
    <w:qFormat/>
  </w:style>
  <w:style w:type="character" w:styleId="832" w:customStyle="1">
    <w:name w:val="标题 字符"/>
    <w:link w:val="811"/>
    <w:uiPriority w:val="10"/>
    <w:qFormat/>
    <w:rPr>
      <w:sz w:val="48"/>
      <w:szCs w:val="48"/>
    </w:rPr>
  </w:style>
  <w:style w:type="character" w:styleId="833" w:customStyle="1">
    <w:name w:val="副标题 字符"/>
    <w:link w:val="804"/>
    <w:uiPriority w:val="11"/>
    <w:qFormat/>
    <w:rPr>
      <w:sz w:val="24"/>
      <w:szCs w:val="24"/>
    </w:rPr>
  </w:style>
  <w:style w:type="paragraph" w:styleId="834">
    <w:name w:val="Quote"/>
    <w:basedOn w:val="771"/>
    <w:next w:val="771"/>
    <w:link w:val="835"/>
    <w:uiPriority w:val="29"/>
    <w:qFormat/>
    <w:pPr>
      <w:ind w:left="720" w:right="720"/>
    </w:pPr>
    <w:rPr>
      <w:i/>
    </w:rPr>
  </w:style>
  <w:style w:type="character" w:styleId="835" w:customStyle="1">
    <w:name w:val="引用 字符"/>
    <w:link w:val="834"/>
    <w:uiPriority w:val="29"/>
    <w:qFormat/>
    <w:rPr>
      <w:i/>
    </w:rPr>
  </w:style>
  <w:style w:type="paragraph" w:styleId="836">
    <w:name w:val="Intense Quote"/>
    <w:basedOn w:val="771"/>
    <w:next w:val="771"/>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Header Char"/>
    <w:uiPriority w:val="99"/>
    <w:qFormat/>
  </w:style>
  <w:style w:type="character" w:styleId="839" w:customStyle="1">
    <w:name w:val="Footer Char"/>
    <w:uiPriority w:val="99"/>
    <w:qFormat/>
  </w:style>
  <w:style w:type="character" w:styleId="840" w:customStyle="1">
    <w:name w:val="页脚 字符"/>
    <w:link w:val="797"/>
    <w:uiPriority w:val="99"/>
    <w:qFormat/>
  </w:style>
  <w:style w:type="table" w:styleId="8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4" w:customStyle="1">
    <w:name w:val="无格式表格 31"/>
    <w:uiPriority w:val="99"/>
    <w:qFormat/>
    <w:tblPr>
      <w:tblCellMar>
        <w:left w:w="0" w:type="dxa"/>
        <w:top w:w="0" w:type="dxa"/>
        <w:right w:w="0" w:type="dxa"/>
        <w:bottom w:w="0" w:type="dxa"/>
      </w:tblCellMar>
    </w:tblPr>
  </w:style>
  <w:style w:type="table" w:styleId="845" w:customStyle="1">
    <w:name w:val="无格式表格 41"/>
    <w:uiPriority w:val="99"/>
    <w:qFormat/>
    <w:tblPr>
      <w:tblCellMar>
        <w:left w:w="0" w:type="dxa"/>
        <w:top w:w="0" w:type="dxa"/>
        <w:right w:w="0" w:type="dxa"/>
        <w:bottom w:w="0" w:type="dxa"/>
      </w:tblCellMar>
    </w:tblPr>
  </w:style>
  <w:style w:type="table" w:styleId="846" w:customStyle="1">
    <w:name w:val="无格式表格 51"/>
    <w:uiPriority w:val="99"/>
    <w:qFormat/>
    <w:tblPr>
      <w:tblCellMar>
        <w:left w:w="0" w:type="dxa"/>
        <w:top w:w="0" w:type="dxa"/>
        <w:right w:w="0" w:type="dxa"/>
        <w:bottom w:w="0" w:type="dxa"/>
      </w:tblCellMar>
    </w:tblPr>
  </w:style>
  <w:style w:type="table" w:styleId="84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清单表 1 浅色1"/>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6" w:customStyle="1">
    <w:name w:val="脚注文本 字符"/>
    <w:link w:val="805"/>
    <w:uiPriority w:val="99"/>
    <w:qFormat/>
    <w:rPr>
      <w:sz w:val="18"/>
    </w:rPr>
  </w:style>
  <w:style w:type="character" w:styleId="967" w:customStyle="1">
    <w:name w:val="尾注文本 字符"/>
    <w:link w:val="795"/>
    <w:uiPriority w:val="99"/>
    <w:qFormat/>
    <w:rPr>
      <w:sz w:val="20"/>
    </w:rPr>
  </w:style>
  <w:style w:type="paragraph" w:styleId="968" w:customStyle="1">
    <w:name w:val="TOC 标题1"/>
    <w:uiPriority w:val="39"/>
    <w:unhideWhenUsed/>
    <w:qFormat/>
  </w:style>
  <w:style w:type="character" w:styleId="969" w:customStyle="1">
    <w:name w:val="页眉 字符"/>
    <w:link w:val="801"/>
    <w:qFormat/>
    <w:rPr>
      <w:rFonts w:ascii="Times New Roman" w:hAnsi="Times New Roman" w:eastAsia="楷体_GB2312"/>
      <w:sz w:val="18"/>
      <w:szCs w:val="18"/>
    </w:rPr>
  </w:style>
  <w:style w:type="paragraph" w:styleId="970" w:customStyle="1">
    <w:name w:val="索引 41"/>
    <w:basedOn w:val="771"/>
    <w:next w:val="771"/>
    <w:qFormat/>
    <w:pPr>
      <w:ind w:left="600"/>
    </w:pPr>
    <w:rPr>
      <w:szCs w:val="21"/>
    </w:rPr>
  </w:style>
  <w:style w:type="paragraph" w:styleId="971" w:customStyle="1">
    <w:name w:val="正文首行缩进 21"/>
    <w:basedOn w:val="800"/>
    <w:uiPriority w:val="99"/>
    <w:unhideWhenUsed/>
    <w:qFormat/>
    <w:pPr>
      <w:ind w:firstLine="420"/>
    </w:pPr>
  </w:style>
  <w:style w:type="paragraph" w:styleId="972" w:customStyle="1">
    <w:name w:val="目录 11"/>
    <w:basedOn w:val="771"/>
    <w:next w:val="771"/>
    <w:unhideWhenUsed/>
    <w:qFormat/>
    <w:pPr>
      <w:jc w:val="left"/>
    </w:pPr>
    <w:rPr>
      <w:sz w:val="24"/>
    </w:rPr>
  </w:style>
  <w:style w:type="paragraph" w:styleId="973" w:customStyle="1">
    <w:name w:val="标题 21"/>
    <w:basedOn w:val="771"/>
    <w:next w:val="771"/>
    <w:qFormat/>
    <w:pPr>
      <w:keepLines/>
      <w:keepNext/>
      <w:spacing w:before="260" w:after="260" w:line="416" w:lineRule="auto"/>
      <w:outlineLvl w:val="1"/>
    </w:pPr>
    <w:rPr>
      <w:rFonts w:ascii="Cambria" w:hAnsi="Cambria" w:eastAsia="宋体"/>
      <w:b/>
      <w:bCs/>
      <w:sz w:val="32"/>
      <w:szCs w:val="32"/>
    </w:rPr>
  </w:style>
  <w:style w:type="paragraph" w:styleId="974" w:customStyle="1">
    <w:name w:val="Default"/>
    <w:qFormat/>
    <w:pPr>
      <w:widowControl w:val="off"/>
    </w:pPr>
    <w:rPr>
      <w:rFonts w:ascii="仿宋" w:eastAsia="仿宋" w:cs="仿宋"/>
      <w:color w:val="000000"/>
      <w:sz w:val="24"/>
      <w:szCs w:val="24"/>
    </w:rPr>
  </w:style>
  <w:style w:type="paragraph" w:styleId="975" w:customStyle="1">
    <w:name w:val="纯文本1111"/>
    <w:basedOn w:val="771"/>
    <w:next w:val="976"/>
    <w:unhideWhenUsed/>
    <w:qFormat/>
    <w:rPr>
      <w:rFonts w:ascii="宋体" w:hAnsi="Courier New"/>
    </w:rPr>
  </w:style>
  <w:style w:type="paragraph" w:styleId="976" w:customStyle="1">
    <w:name w:val="正文缩进1"/>
    <w:basedOn w:val="771"/>
    <w:unhideWhenUsed/>
    <w:qFormat/>
    <w:pPr>
      <w:ind w:firstLine="420"/>
      <w:jc w:val="left"/>
    </w:pPr>
    <w:rPr>
      <w:sz w:val="24"/>
    </w:rPr>
  </w:style>
  <w:style w:type="paragraph" w:styleId="977" w:customStyle="1">
    <w:name w:val="首行缩进"/>
    <w:basedOn w:val="771"/>
    <w:qFormat/>
    <w:pPr>
      <w:ind w:firstLine="480"/>
      <w:spacing w:line="360" w:lineRule="auto"/>
    </w:pPr>
    <w:rPr>
      <w:rFonts w:hAnsi="宋体" w:eastAsia="宋体" w:cs="宋体"/>
      <w:sz w:val="24"/>
      <w:szCs w:val="24"/>
    </w:rPr>
  </w:style>
  <w:style w:type="paragraph" w:styleId="978" w:customStyle="1">
    <w:name w:val="Char"/>
    <w:basedOn w:val="771"/>
    <w:qFormat/>
  </w:style>
  <w:style w:type="paragraph" w:styleId="979" w:customStyle="1">
    <w:name w:val="标题 11"/>
    <w:basedOn w:val="771"/>
    <w:next w:val="771"/>
    <w:qFormat/>
    <w:pPr>
      <w:keepLines/>
      <w:keepNext/>
      <w:spacing w:before="340" w:after="330" w:line="578" w:lineRule="auto"/>
      <w:outlineLvl w:val="0"/>
    </w:pPr>
    <w:rPr>
      <w:b/>
      <w:sz w:val="44"/>
    </w:rPr>
  </w:style>
  <w:style w:type="paragraph" w:styleId="980" w:customStyle="1">
    <w:name w:val="纯文本1"/>
    <w:basedOn w:val="771"/>
    <w:qFormat/>
    <w:rPr>
      <w:rFonts w:ascii="宋体" w:hAnsi="Courier New"/>
    </w:rPr>
  </w:style>
  <w:style w:type="paragraph" w:styleId="981" w:customStyle="1">
    <w:name w:val="正文2"/>
    <w:basedOn w:val="771"/>
    <w:qFormat/>
    <w:pPr>
      <w:ind w:firstLine="510"/>
      <w:spacing w:before="156" w:line="360" w:lineRule="auto"/>
    </w:pPr>
    <w:rPr>
      <w:sz w:val="24"/>
    </w:rPr>
  </w:style>
  <w:style w:type="character" w:styleId="982" w:customStyle="1">
    <w:name w:val="要点1"/>
    <w:qFormat/>
    <w:rPr>
      <w:b/>
      <w:bCs/>
    </w:rPr>
  </w:style>
  <w:style w:type="paragraph" w:styleId="983" w:customStyle="1">
    <w:name w:val="普通(网站)1"/>
    <w:basedOn w:val="771"/>
    <w:unhideWhenUsed/>
    <w:qFormat/>
    <w:pPr>
      <w:jc w:val="left"/>
      <w:spacing w:before="100" w:beforeAutospacing="1" w:after="100" w:afterAutospacing="1"/>
      <w:widowControl/>
    </w:pPr>
    <w:rPr>
      <w:rFonts w:ascii="宋体" w:hAnsi="宋体" w:cs="宋体"/>
      <w:sz w:val="24"/>
    </w:rPr>
  </w:style>
  <w:style w:type="paragraph" w:styleId="984" w:customStyle="1">
    <w:name w:val="正文文本缩进 21"/>
    <w:basedOn w:val="771"/>
    <w:unhideWhenUsed/>
    <w:qFormat/>
    <w:pPr>
      <w:ind w:left="420"/>
      <w:spacing w:after="120" w:line="480" w:lineRule="auto"/>
    </w:pPr>
  </w:style>
  <w:style w:type="paragraph" w:styleId="985" w:customStyle="1">
    <w:name w:val="纯文本11"/>
    <w:basedOn w:val="771"/>
    <w:uiPriority w:val="99"/>
    <w:qFormat/>
    <w:rPr>
      <w:rFonts w:ascii="宋体" w:hAnsi="Courier New"/>
    </w:rPr>
  </w:style>
  <w:style w:type="paragraph" w:styleId="986" w:customStyle="1">
    <w:name w:val="索引 11"/>
    <w:basedOn w:val="771"/>
    <w:next w:val="771"/>
    <w:unhideWhenUsed/>
    <w:qFormat/>
    <w:pPr>
      <w:jc w:val="center"/>
      <w:spacing w:line="220" w:lineRule="exact"/>
    </w:pPr>
    <w:rPr>
      <w:rFonts w:ascii="仿宋_GB2312" w:eastAsia="仿宋_GB2312"/>
      <w:szCs w:val="21"/>
    </w:rPr>
  </w:style>
  <w:style w:type="paragraph" w:styleId="987" w:customStyle="1">
    <w:name w:val="正文文本1"/>
    <w:basedOn w:val="771"/>
    <w:unhideWhenUsed/>
    <w:qFormat/>
    <w:rPr>
      <w:rFonts w:ascii="楷体_GB2312"/>
      <w:b/>
      <w:bCs/>
      <w:sz w:val="28"/>
    </w:rPr>
  </w:style>
  <w:style w:type="paragraph" w:styleId="988" w:customStyle="1">
    <w:name w:val="页眉1"/>
    <w:basedOn w:val="771"/>
    <w:unhideWhenUsed/>
    <w:qFormat/>
    <w:pPr>
      <w:jc w:val="center"/>
      <w:tabs>
        <w:tab w:val="center" w:pos="4153" w:leader="none"/>
        <w:tab w:val="right" w:pos="8306" w:leader="none"/>
      </w:tabs>
      <w:pBdr>
        <w:bottom w:val="single" w:color="000000" w:sz="6" w:space="1"/>
      </w:pBdr>
    </w:pPr>
    <w:rPr>
      <w:sz w:val="18"/>
    </w:rPr>
  </w:style>
  <w:style w:type="paragraph" w:styleId="989" w:customStyle="1">
    <w:name w:val="页脚1"/>
    <w:basedOn w:val="771"/>
    <w:unhideWhenUsed/>
    <w:qFormat/>
    <w:pPr>
      <w:jc w:val="left"/>
      <w:tabs>
        <w:tab w:val="center" w:pos="4153" w:leader="none"/>
        <w:tab w:val="right" w:pos="8306" w:leader="none"/>
      </w:tabs>
    </w:pPr>
    <w:rPr>
      <w:sz w:val="18"/>
    </w:rPr>
  </w:style>
  <w:style w:type="character" w:styleId="990" w:customStyle="1">
    <w:name w:val="font81"/>
    <w:qFormat/>
    <w:rPr>
      <w:rFonts w:ascii="Times New Roman" w:hAnsi="Times New Roman" w:cs="Times New Roman"/>
      <w:color w:val="000000"/>
      <w:sz w:val="22"/>
      <w:szCs w:val="22"/>
      <w:u w:val="none"/>
    </w:rPr>
  </w:style>
  <w:style w:type="character" w:styleId="991" w:customStyle="1">
    <w:name w:val="font11"/>
    <w:qFormat/>
    <w:rPr>
      <w:rFonts w:hint="eastAsia" w:ascii="仿宋" w:hAnsi="仿宋" w:eastAsia="仿宋" w:cs="仿宋"/>
      <w:color w:val="000000"/>
      <w:sz w:val="22"/>
      <w:szCs w:val="22"/>
      <w:u w:val="none"/>
    </w:rPr>
  </w:style>
  <w:style w:type="character" w:styleId="992" w:customStyle="1">
    <w:name w:val="font101"/>
    <w:qFormat/>
    <w:rPr>
      <w:rFonts w:ascii="Arial" w:hAnsi="Arial" w:cs="Arial"/>
      <w:color w:val="000000"/>
      <w:sz w:val="22"/>
      <w:szCs w:val="22"/>
      <w:u w:val="none"/>
    </w:rPr>
  </w:style>
  <w:style w:type="paragraph" w:styleId="993" w:customStyle="1">
    <w:name w:val="List Paragraph_f0420307-4c65-4cf4-ac34-e8950b7bacb1"/>
    <w:basedOn w:val="771"/>
    <w:qFormat/>
    <w:pPr>
      <w:ind w:firstLine="420"/>
    </w:pPr>
    <w:rPr>
      <w:rFonts w:eastAsia="宋体"/>
      <w:sz w:val="21"/>
      <w:szCs w:val="21"/>
    </w:rPr>
  </w:style>
  <w:style w:type="character" w:styleId="994" w:customStyle="1">
    <w:name w:val="font51"/>
    <w:basedOn w:val="781"/>
    <w:qFormat/>
    <w:rPr>
      <w:rFonts w:hint="default" w:ascii="Times New Roman" w:hAnsi="Times New Roman" w:cs="Times New Roman"/>
      <w:color w:val="000000"/>
      <w:sz w:val="21"/>
      <w:szCs w:val="21"/>
      <w:u w:val="none"/>
    </w:rPr>
  </w:style>
  <w:style w:type="character" w:styleId="995" w:customStyle="1">
    <w:name w:val="font31"/>
    <w:basedOn w:val="781"/>
    <w:qFormat/>
    <w:rPr>
      <w:rFonts w:hint="eastAsia" w:ascii="宋体" w:hAnsi="宋体" w:eastAsia="宋体" w:cs="宋体"/>
      <w:color w:val="000000"/>
      <w:sz w:val="21"/>
      <w:szCs w:val="21"/>
      <w:u w:val="none"/>
    </w:rPr>
  </w:style>
  <w:style w:type="character" w:styleId="996" w:customStyle="1">
    <w:name w:val="font21"/>
    <w:basedOn w:val="781"/>
    <w:qFormat/>
    <w:rPr>
      <w:rFonts w:hint="default" w:ascii="Times New Roman" w:hAnsi="Times New Roman" w:cs="Times New Roman"/>
      <w:color w:val="000000"/>
      <w:sz w:val="21"/>
      <w:szCs w:val="21"/>
      <w:u w:val="none"/>
    </w:rPr>
  </w:style>
  <w:style w:type="character" w:styleId="997" w:customStyle="1">
    <w:name w:val="font61"/>
    <w:basedOn w:val="781"/>
    <w:qFormat/>
    <w:rPr>
      <w:rFonts w:hint="eastAsia" w:ascii="宋体" w:hAnsi="宋体" w:eastAsia="宋体" w:cs="宋体"/>
      <w:color w:val="000000"/>
      <w:sz w:val="21"/>
      <w:szCs w:val="21"/>
      <w:u w:val="none"/>
    </w:rPr>
  </w:style>
  <w:style w:type="character" w:styleId="998" w:customStyle="1">
    <w:name w:val="font41"/>
    <w:basedOn w:val="781"/>
    <w:qFormat/>
    <w:rPr>
      <w:rFonts w:hint="default" w:ascii="Times New Roman" w:hAnsi="Times New Roman" w:cs="Times New Roman"/>
      <w:color w:val="000000"/>
      <w:sz w:val="20"/>
      <w:szCs w:val="20"/>
      <w:u w:val="none"/>
    </w:rPr>
  </w:style>
  <w:style w:type="character" w:styleId="999" w:customStyle="1">
    <w:name w:val="批注框文本 字符"/>
    <w:basedOn w:val="781"/>
    <w:link w:val="796"/>
    <w:uiPriority w:val="99"/>
    <w:semiHidden/>
    <w:qFormat/>
    <w:rPr>
      <w:rFonts w:eastAsia="楷体_GB2312"/>
      <w:sz w:val="18"/>
      <w:szCs w:val="18"/>
    </w:rPr>
  </w:style>
  <w:style w:type="table" w:styleId="1000" w:customStyle="1">
    <w:name w:val="Table Normal"/>
    <w:semiHidden/>
    <w:unhideWhenUsed/>
    <w:qFormat/>
    <w:tblPr>
      <w:tblCellMar>
        <w:left w:w="0" w:type="dxa"/>
        <w:top w:w="0" w:type="dxa"/>
        <w:right w:w="0" w:type="dxa"/>
        <w:bottom w:w="0" w:type="dxa"/>
      </w:tblCellMar>
    </w:tblPr>
  </w:style>
  <w:style w:type="paragraph" w:styleId="1001" w:customStyle="1">
    <w:name w:val="样式 首行缩进:  2 字符"/>
    <w:basedOn w:val="771"/>
    <w:link w:val="1002"/>
    <w:qFormat/>
    <w:pPr>
      <w:ind w:firstLine="480"/>
      <w:spacing w:line="360" w:lineRule="auto"/>
    </w:pPr>
    <w:rPr>
      <w:rFonts w:eastAsia="宋体"/>
      <w:sz w:val="24"/>
    </w:rPr>
  </w:style>
  <w:style w:type="character" w:styleId="1002" w:customStyle="1">
    <w:name w:val="样式 首行缩进:  2 字符 Char Char"/>
    <w:link w:val="1001"/>
    <w:qFormat/>
    <w:rPr>
      <w:sz w:val="24"/>
    </w:rPr>
  </w:style>
  <w:style w:type="character" w:styleId="1003" w:customStyle="1">
    <w:name w:val="批注文字 字符"/>
    <w:basedOn w:val="781"/>
    <w:link w:val="787"/>
    <w:uiPriority w:val="99"/>
    <w:semiHidden/>
    <w:qFormat/>
    <w:rPr>
      <w:rFonts w:eastAsia="楷体_GB2312"/>
      <w:sz w:val="26"/>
    </w:rPr>
  </w:style>
  <w:style w:type="paragraph" w:styleId="1004" w:customStyle="1">
    <w:name w:val="Normal_17_1"/>
    <w:qFormat/>
    <w:pPr>
      <w:jc w:val="both"/>
      <w:widowControl w:val="off"/>
    </w:pPr>
    <w:rPr>
      <w:rFonts w:ascii="Calibri" w:hAnsi="Calibri"/>
      <w:sz w:val="21"/>
      <w:szCs w:val="22"/>
    </w:rPr>
  </w:style>
  <w:style w:type="paragraph" w:styleId="1005" w:customStyle="1">
    <w:name w:val="Normal_16_1"/>
    <w:qFormat/>
    <w:rPr>
      <w:rFonts w:ascii="宋体" w:hAnsi="宋体"/>
      <w:sz w:val="32"/>
      <w:szCs w:val="24"/>
    </w:rPr>
  </w:style>
  <w:style w:type="paragraph" w:styleId="1006" w:customStyle="1">
    <w:name w:val="正文_9_0_1"/>
    <w:qFormat/>
    <w:pPr>
      <w:jc w:val="both"/>
      <w:widowControl w:val="off"/>
    </w:pPr>
    <w:rPr>
      <w:rFonts w:ascii="Calibri" w:hAnsi="Calibri"/>
      <w:sz w:val="21"/>
      <w:szCs w:val="22"/>
    </w:rPr>
  </w:style>
  <w:style w:type="paragraph" w:styleId="1007" w:customStyle="1">
    <w:name w:val="正文_8_1_1"/>
    <w:qFormat/>
    <w:pPr>
      <w:jc w:val="both"/>
      <w:widowControl w:val="off"/>
    </w:pPr>
    <w:rPr>
      <w:rFonts w:ascii="Calibri" w:hAnsi="Calibri"/>
      <w:sz w:val="21"/>
      <w:szCs w:val="22"/>
    </w:rPr>
  </w:style>
  <w:style w:type="paragraph" w:styleId="1008" w:customStyle="1">
    <w:name w:val="正文_1_0_0_0_0_0"/>
    <w:qFormat/>
    <w:pPr>
      <w:jc w:val="both"/>
      <w:widowControl w:val="off"/>
    </w:pPr>
    <w:rPr>
      <w:sz w:val="21"/>
    </w:rPr>
  </w:style>
  <w:style w:type="paragraph" w:styleId="1009" w:customStyle="1">
    <w:name w:val="列出段落_2"/>
    <w:basedOn w:val="1007"/>
    <w:uiPriority w:val="34"/>
    <w:qFormat/>
    <w:pPr>
      <w:ind w:firstLine="420"/>
    </w:pPr>
  </w:style>
  <w:style w:type="paragraph" w:styleId="1010" w:customStyle="1">
    <w:name w:val="Other|1"/>
    <w:basedOn w:val="771"/>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EF4C591-75BA-4EE1-8A8C-DDB3487566B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95</cp:revision>
  <dcterms:created xsi:type="dcterms:W3CDTF">2024-11-12T10:22:00Z</dcterms:created>
  <dcterms:modified xsi:type="dcterms:W3CDTF">2026-06-29T06:20:41Z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9830CAE923E646A1A8FEA30356F851EB_13</vt:lpwstr>
  </property>
  <property fmtid="{D5CDD505-2E9C-101B-9397-08002B2CF9AE}" pid="4" name="KSOTemplateDocerSaveRecord">
    <vt:lpwstr>eyJoZGlkIjoiOGIzYWQ0NGI5ODZhMmQ2NjdiNzEwMGIwMWZiZDFiNzgiLCJ1c2VySWQiOiI1MzgyNjc5MTEifQ==</vt:lpwstr>
  </property>
</Properties>
</file>